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eastAsia="黑体"/>
          <w:bCs/>
          <w:sz w:val="32"/>
          <w:szCs w:val="32"/>
        </w:rPr>
      </w:pPr>
      <w:bookmarkStart w:id="3" w:name="_GoBack"/>
      <w:bookmarkEnd w:id="3"/>
      <w:bookmarkStart w:id="0" w:name="Content"/>
      <w:r>
        <w:rPr>
          <w:rFonts w:hint="eastAsia" w:eastAsia="黑体"/>
          <w:bCs/>
          <w:sz w:val="32"/>
          <w:szCs w:val="32"/>
        </w:rPr>
        <w:t>202</w:t>
      </w:r>
      <w:r>
        <w:rPr>
          <w:rFonts w:hint="eastAsia" w:eastAsia="黑体"/>
          <w:bCs/>
          <w:sz w:val="32"/>
          <w:szCs w:val="32"/>
          <w:lang w:val="en-US" w:eastAsia="zh-CN"/>
        </w:rPr>
        <w:t>4</w:t>
      </w:r>
      <w:r>
        <w:rPr>
          <w:rFonts w:hint="eastAsia" w:eastAsia="黑体"/>
          <w:bCs/>
          <w:sz w:val="32"/>
          <w:szCs w:val="32"/>
        </w:rPr>
        <w:t>年电动自行车用动力电池产品质量</w:t>
      </w:r>
      <w:r>
        <w:rPr>
          <w:rFonts w:hint="eastAsia" w:eastAsia="黑体"/>
          <w:bCs/>
          <w:sz w:val="32"/>
          <w:szCs w:val="32"/>
          <w:lang w:eastAsia="zh-CN"/>
        </w:rPr>
        <w:t>桂林</w:t>
      </w:r>
      <w:r>
        <w:rPr>
          <w:rFonts w:hint="eastAsia" w:eastAsia="黑体"/>
          <w:bCs/>
          <w:sz w:val="32"/>
          <w:szCs w:val="32"/>
        </w:rPr>
        <w:t>监督抽查实施细则</w:t>
      </w:r>
    </w:p>
    <w:p>
      <w:pPr>
        <w:spacing w:line="400" w:lineRule="exact"/>
        <w:jc w:val="center"/>
        <w:rPr>
          <w:rFonts w:hint="eastAsia" w:eastAsia="黑体"/>
          <w:bCs/>
          <w:sz w:val="32"/>
          <w:szCs w:val="32"/>
        </w:rPr>
      </w:pPr>
    </w:p>
    <w:p>
      <w:pPr>
        <w:pStyle w:val="16"/>
        <w:numPr>
          <w:ilvl w:val="0"/>
          <w:numId w:val="0"/>
        </w:numPr>
        <w:spacing w:before="0" w:beforeLines="0" w:after="0" w:afterLines="0" w:line="400" w:lineRule="exact"/>
        <w:rPr>
          <w:rFonts w:hint="eastAsia" w:ascii="Times New Roman"/>
          <w:color w:val="FF0000"/>
        </w:rPr>
      </w:pPr>
      <w:bookmarkStart w:id="1" w:name="_Toc179596492"/>
      <w:r>
        <w:rPr>
          <w:rFonts w:hint="eastAsia" w:ascii="Times New Roman"/>
        </w:rPr>
        <w:t>1 范围</w:t>
      </w:r>
      <w:bookmarkEnd w:id="1"/>
    </w:p>
    <w:p>
      <w:pPr>
        <w:spacing w:line="400" w:lineRule="exact"/>
        <w:ind w:firstLine="420" w:firstLineChars="200"/>
        <w:rPr>
          <w:rFonts w:hint="eastAsia"/>
          <w:kern w:val="0"/>
          <w:szCs w:val="21"/>
        </w:rPr>
      </w:pPr>
      <w:r>
        <w:rPr>
          <w:rFonts w:hint="eastAsia"/>
          <w:kern w:val="0"/>
          <w:szCs w:val="21"/>
        </w:rPr>
        <w:t>本细则适用于电动自行车用动力电池产品质量</w:t>
      </w:r>
      <w:r>
        <w:rPr>
          <w:rFonts w:hint="eastAsia"/>
          <w:kern w:val="0"/>
          <w:szCs w:val="21"/>
          <w:lang w:eastAsia="zh-CN"/>
        </w:rPr>
        <w:t>桂林</w:t>
      </w:r>
      <w:r>
        <w:rPr>
          <w:rFonts w:hint="eastAsia"/>
          <w:kern w:val="0"/>
          <w:szCs w:val="21"/>
        </w:rPr>
        <w:t>监督抽查，</w:t>
      </w:r>
      <w:r>
        <w:rPr>
          <w:kern w:val="0"/>
          <w:szCs w:val="21"/>
        </w:rPr>
        <w:t>其他</w:t>
      </w:r>
      <w:r>
        <w:rPr>
          <w:rFonts w:hint="eastAsia"/>
          <w:kern w:val="0"/>
          <w:szCs w:val="21"/>
        </w:rPr>
        <w:t>市场监管</w:t>
      </w:r>
      <w:r>
        <w:rPr>
          <w:kern w:val="0"/>
          <w:szCs w:val="21"/>
        </w:rPr>
        <w:t>部门组织的及针对特殊情况的监督抽查可参考本细则执行</w:t>
      </w:r>
      <w:r>
        <w:rPr>
          <w:rFonts w:hint="eastAsia"/>
          <w:kern w:val="0"/>
          <w:szCs w:val="21"/>
        </w:rPr>
        <w:t>。本次监督抽查产品范围包括：电动助力车用阀控式铅酸蓄电池、</w:t>
      </w:r>
      <w:r>
        <w:rPr>
          <w:rFonts w:hint="eastAsia" w:ascii="宋体" w:hAnsi="宋体" w:cs="Sim Sun"/>
          <w:kern w:val="0"/>
          <w:szCs w:val="21"/>
        </w:rPr>
        <w:t>电动自行车用锂离子蓄电池组</w:t>
      </w:r>
      <w:r>
        <w:rPr>
          <w:rFonts w:hint="eastAsia"/>
          <w:kern w:val="0"/>
          <w:szCs w:val="21"/>
        </w:rPr>
        <w:t>。本细则内容包括产品种类、术语和定义、检验依据、抽样、检验要求、判定原则及异议处理。</w:t>
      </w:r>
    </w:p>
    <w:p>
      <w:pPr>
        <w:spacing w:line="400" w:lineRule="exact"/>
        <w:ind w:firstLine="420" w:firstLineChars="200"/>
        <w:rPr>
          <w:rFonts w:hint="eastAsia"/>
          <w:kern w:val="0"/>
          <w:szCs w:val="21"/>
        </w:rPr>
      </w:pPr>
    </w:p>
    <w:p>
      <w:pPr>
        <w:pStyle w:val="16"/>
        <w:numPr>
          <w:ilvl w:val="0"/>
          <w:numId w:val="0"/>
        </w:numPr>
        <w:spacing w:before="0" w:beforeLines="0" w:after="0" w:afterLines="0" w:line="400" w:lineRule="exact"/>
        <w:rPr>
          <w:rFonts w:hint="eastAsia" w:ascii="Times New Roman"/>
        </w:rPr>
      </w:pPr>
      <w:r>
        <w:rPr>
          <w:rFonts w:hint="eastAsia" w:ascii="Times New Roman"/>
        </w:rPr>
        <w:t>2 产品种类</w:t>
      </w:r>
    </w:p>
    <w:p>
      <w:pPr>
        <w:pStyle w:val="13"/>
        <w:spacing w:line="400" w:lineRule="exact"/>
        <w:rPr>
          <w:rFonts w:hint="eastAsia" w:eastAsia="宋体"/>
          <w:lang w:eastAsia="zh-CN"/>
        </w:rPr>
      </w:pPr>
      <w:r>
        <w:rPr>
          <w:rFonts w:hint="eastAsia"/>
          <w:kern w:val="0"/>
          <w:szCs w:val="21"/>
        </w:rPr>
        <w:t>电动助力车用阀控式铅酸蓄电池</w:t>
      </w:r>
      <w:r>
        <w:rPr>
          <w:rFonts w:hint="eastAsia"/>
          <w:kern w:val="0"/>
          <w:szCs w:val="21"/>
          <w:lang w:eastAsia="zh-CN"/>
        </w:rPr>
        <w:t>（</w:t>
      </w:r>
      <w:r>
        <w:rPr>
          <w:rFonts w:hint="eastAsia"/>
          <w:kern w:val="0"/>
          <w:szCs w:val="21"/>
          <w:lang w:val="en-US" w:eastAsia="zh-CN"/>
        </w:rPr>
        <w:t>以下简称“</w:t>
      </w:r>
      <w:r>
        <w:rPr>
          <w:rFonts w:hint="eastAsia"/>
          <w:szCs w:val="18"/>
        </w:rPr>
        <w:t>铅酸蓄电池</w:t>
      </w:r>
      <w:r>
        <w:rPr>
          <w:rFonts w:hint="eastAsia"/>
          <w:kern w:val="0"/>
          <w:szCs w:val="21"/>
          <w:lang w:val="en-US" w:eastAsia="zh-CN"/>
        </w:rPr>
        <w:t>”</w:t>
      </w:r>
      <w:r>
        <w:rPr>
          <w:rFonts w:hint="eastAsia"/>
          <w:kern w:val="0"/>
          <w:szCs w:val="21"/>
          <w:lang w:eastAsia="zh-CN"/>
        </w:rPr>
        <w:t>）</w:t>
      </w:r>
      <w:r>
        <w:rPr>
          <w:rFonts w:hint="eastAsia"/>
          <w:kern w:val="0"/>
          <w:szCs w:val="21"/>
        </w:rPr>
        <w:t>、</w:t>
      </w:r>
      <w:r>
        <w:rPr>
          <w:rFonts w:hint="eastAsia" w:ascii="宋体" w:hAnsi="宋体" w:cs="Sim Sun"/>
          <w:kern w:val="0"/>
          <w:szCs w:val="21"/>
        </w:rPr>
        <w:t>电动自行车用锂离子蓄电池组</w:t>
      </w:r>
      <w:r>
        <w:rPr>
          <w:rFonts w:hint="eastAsia" w:hAnsi="宋体" w:cs="Sim Sun"/>
          <w:kern w:val="0"/>
          <w:szCs w:val="21"/>
          <w:lang w:eastAsia="zh-CN"/>
        </w:rPr>
        <w:t>（</w:t>
      </w:r>
      <w:r>
        <w:rPr>
          <w:rFonts w:hint="eastAsia" w:hAnsi="宋体" w:cs="Sim Sun"/>
          <w:kern w:val="0"/>
          <w:szCs w:val="21"/>
          <w:lang w:val="en-US" w:eastAsia="zh-CN"/>
        </w:rPr>
        <w:t>以下简称</w:t>
      </w:r>
      <w:r>
        <w:rPr>
          <w:rFonts w:hint="eastAsia" w:hAnsi="宋体" w:cs="Sim Sun"/>
          <w:kern w:val="0"/>
          <w:szCs w:val="21"/>
          <w:lang w:eastAsia="zh-CN"/>
        </w:rPr>
        <w:t>“</w:t>
      </w:r>
      <w:r>
        <w:rPr>
          <w:rFonts w:hint="eastAsia"/>
          <w:szCs w:val="18"/>
        </w:rPr>
        <w:t>锂离子蓄电池组</w:t>
      </w:r>
      <w:r>
        <w:rPr>
          <w:rFonts w:hint="eastAsia" w:hAnsi="宋体" w:cs="Sim Sun"/>
          <w:kern w:val="0"/>
          <w:szCs w:val="21"/>
          <w:lang w:eastAsia="zh-CN"/>
        </w:rPr>
        <w:t>”）</w:t>
      </w:r>
      <w:r>
        <w:rPr>
          <w:rFonts w:hint="eastAsia"/>
          <w:szCs w:val="18"/>
          <w:lang w:eastAsia="zh-CN"/>
        </w:rPr>
        <w:t>。</w:t>
      </w:r>
    </w:p>
    <w:p>
      <w:pPr>
        <w:pStyle w:val="16"/>
        <w:numPr>
          <w:ilvl w:val="0"/>
          <w:numId w:val="0"/>
        </w:numPr>
        <w:spacing w:before="0" w:beforeLines="0" w:after="0" w:afterLines="0" w:line="400" w:lineRule="exact"/>
        <w:rPr>
          <w:rFonts w:hint="eastAsia" w:ascii="Times New Roman"/>
        </w:rPr>
      </w:pPr>
    </w:p>
    <w:p>
      <w:pPr>
        <w:pStyle w:val="16"/>
        <w:numPr>
          <w:ilvl w:val="0"/>
          <w:numId w:val="0"/>
        </w:numPr>
        <w:spacing w:before="0" w:beforeLines="0" w:after="0" w:afterLines="0" w:line="400" w:lineRule="exact"/>
        <w:rPr>
          <w:rFonts w:hint="eastAsia" w:ascii="Times New Roman"/>
        </w:rPr>
      </w:pPr>
      <w:r>
        <w:rPr>
          <w:rFonts w:hint="eastAsia" w:ascii="Times New Roman"/>
        </w:rPr>
        <w:t>3 术语和定义</w:t>
      </w:r>
    </w:p>
    <w:p>
      <w:pPr>
        <w:spacing w:line="400" w:lineRule="exact"/>
        <w:ind w:firstLine="420" w:firstLineChars="200"/>
        <w:rPr>
          <w:rFonts w:hint="eastAsia"/>
          <w:kern w:val="0"/>
          <w:szCs w:val="21"/>
        </w:rPr>
      </w:pPr>
      <w:r>
        <w:rPr>
          <w:rFonts w:hint="eastAsia"/>
          <w:kern w:val="0"/>
          <w:szCs w:val="21"/>
        </w:rPr>
        <w:t>本细则中未列出的术语和定义同相关引用标准。</w:t>
      </w:r>
    </w:p>
    <w:p>
      <w:pPr>
        <w:spacing w:line="400" w:lineRule="exact"/>
        <w:ind w:firstLine="420" w:firstLineChars="200"/>
        <w:rPr>
          <w:rFonts w:hint="eastAsia"/>
          <w:kern w:val="0"/>
          <w:szCs w:val="21"/>
        </w:rPr>
      </w:pPr>
    </w:p>
    <w:p>
      <w:pPr>
        <w:pStyle w:val="16"/>
        <w:numPr>
          <w:ilvl w:val="0"/>
          <w:numId w:val="0"/>
        </w:numPr>
        <w:spacing w:before="0" w:beforeLines="0" w:after="0" w:afterLines="0" w:line="400" w:lineRule="exact"/>
        <w:rPr>
          <w:rFonts w:hint="eastAsia" w:ascii="Times New Roman"/>
        </w:rPr>
      </w:pPr>
      <w:r>
        <w:rPr>
          <w:rFonts w:hint="eastAsia" w:ascii="Times New Roman"/>
        </w:rPr>
        <w:t>4 检验依据</w:t>
      </w:r>
    </w:p>
    <w:p>
      <w:pPr>
        <w:spacing w:line="400" w:lineRule="exact"/>
        <w:ind w:firstLine="420" w:firstLineChars="200"/>
        <w:rPr>
          <w:rFonts w:hint="eastAsia"/>
          <w:kern w:val="0"/>
          <w:szCs w:val="21"/>
        </w:rPr>
      </w:pPr>
      <w:r>
        <w:rPr>
          <w:rFonts w:hint="eastAsia"/>
          <w:kern w:val="0"/>
          <w:szCs w:val="21"/>
        </w:rPr>
        <w:t>凡是注明日期的文件，其随后所有的修改单或修订版均不适用于本细则。凡是不注明日期的，其最新版本适用于本细则。</w:t>
      </w:r>
    </w:p>
    <w:p>
      <w:pPr>
        <w:spacing w:line="400" w:lineRule="exact"/>
        <w:ind w:firstLine="420" w:firstLineChars="200"/>
        <w:rPr>
          <w:rFonts w:hint="eastAsia"/>
          <w:szCs w:val="21"/>
        </w:rPr>
      </w:pPr>
      <w:r>
        <w:rPr>
          <w:kern w:val="0"/>
          <w:szCs w:val="21"/>
        </w:rPr>
        <w:t>GB/T</w:t>
      </w:r>
      <w:r>
        <w:rPr>
          <w:rFonts w:hint="eastAsia"/>
          <w:kern w:val="0"/>
          <w:szCs w:val="21"/>
        </w:rPr>
        <w:t xml:space="preserve"> 22199.1</w:t>
      </w:r>
      <w:r>
        <w:rPr>
          <w:kern w:val="0"/>
          <w:szCs w:val="21"/>
        </w:rPr>
        <w:t>-201</w:t>
      </w:r>
      <w:r>
        <w:rPr>
          <w:rFonts w:hint="eastAsia"/>
          <w:kern w:val="0"/>
          <w:szCs w:val="21"/>
        </w:rPr>
        <w:t xml:space="preserve">7 </w:t>
      </w:r>
      <w:r>
        <w:rPr>
          <w:rFonts w:hint="eastAsia"/>
          <w:szCs w:val="21"/>
        </w:rPr>
        <w:t>电动助力车用阀控式铅酸蓄电池第1部分：技术条件</w:t>
      </w:r>
    </w:p>
    <w:p>
      <w:pPr>
        <w:spacing w:line="400" w:lineRule="exact"/>
        <w:ind w:firstLine="420" w:firstLineChars="200"/>
        <w:rPr>
          <w:szCs w:val="21"/>
        </w:rPr>
      </w:pPr>
      <w:r>
        <w:rPr>
          <w:kern w:val="0"/>
          <w:szCs w:val="21"/>
        </w:rPr>
        <w:t>GB/T</w:t>
      </w:r>
      <w:r>
        <w:rPr>
          <w:rFonts w:hint="eastAsia"/>
          <w:kern w:val="0"/>
          <w:szCs w:val="21"/>
        </w:rPr>
        <w:t xml:space="preserve"> 22199.2</w:t>
      </w:r>
      <w:r>
        <w:rPr>
          <w:kern w:val="0"/>
          <w:szCs w:val="21"/>
        </w:rPr>
        <w:t>-201</w:t>
      </w:r>
      <w:r>
        <w:rPr>
          <w:rFonts w:hint="eastAsia"/>
          <w:kern w:val="0"/>
          <w:szCs w:val="21"/>
        </w:rPr>
        <w:t xml:space="preserve">7 </w:t>
      </w:r>
      <w:r>
        <w:rPr>
          <w:rFonts w:hint="eastAsia"/>
          <w:szCs w:val="21"/>
        </w:rPr>
        <w:t>电动助力车用阀控式铅酸蓄电池第2部分：产品品种和规格</w:t>
      </w:r>
    </w:p>
    <w:p>
      <w:pPr>
        <w:spacing w:line="400" w:lineRule="exact"/>
        <w:ind w:firstLine="420" w:firstLineChars="200"/>
        <w:rPr>
          <w:rFonts w:hint="eastAsia"/>
          <w:szCs w:val="21"/>
        </w:rPr>
      </w:pPr>
      <w:r>
        <w:rPr>
          <w:szCs w:val="21"/>
        </w:rPr>
        <w:t>GB/T 36972-2018</w:t>
      </w:r>
      <w:r>
        <w:rPr>
          <w:rFonts w:hint="eastAsia"/>
          <w:szCs w:val="21"/>
        </w:rPr>
        <w:t xml:space="preserve"> 电动自行车用锂离子蓄电池</w:t>
      </w:r>
    </w:p>
    <w:p>
      <w:pPr>
        <w:spacing w:line="400" w:lineRule="exact"/>
        <w:ind w:firstLine="420" w:firstLineChars="200"/>
        <w:rPr>
          <w:rFonts w:hint="eastAsia"/>
          <w:szCs w:val="21"/>
        </w:rPr>
      </w:pPr>
      <w:r>
        <w:rPr>
          <w:rFonts w:hint="eastAsia"/>
          <w:szCs w:val="21"/>
        </w:rPr>
        <w:t>QB/T 2947.3-2008 电动自行车用蓄电池及充电器 第3部分：锂离子蓄电池及充电器</w:t>
      </w:r>
    </w:p>
    <w:p>
      <w:pPr>
        <w:spacing w:line="400" w:lineRule="exact"/>
        <w:ind w:firstLine="420" w:firstLineChars="200"/>
        <w:rPr>
          <w:rFonts w:hint="eastAsia"/>
          <w:kern w:val="0"/>
          <w:szCs w:val="21"/>
        </w:rPr>
      </w:pPr>
      <w:r>
        <w:rPr>
          <w:rFonts w:hint="eastAsia"/>
          <w:kern w:val="0"/>
          <w:szCs w:val="21"/>
        </w:rPr>
        <w:t>相关法律法规、部门规章和规范</w:t>
      </w:r>
    </w:p>
    <w:p>
      <w:pPr>
        <w:spacing w:line="400" w:lineRule="exact"/>
        <w:ind w:firstLine="420" w:firstLineChars="200"/>
        <w:rPr>
          <w:rFonts w:hint="eastAsia"/>
          <w:kern w:val="0"/>
          <w:szCs w:val="21"/>
        </w:rPr>
      </w:pPr>
      <w:r>
        <w:rPr>
          <w:rFonts w:hint="eastAsia"/>
          <w:kern w:val="0"/>
          <w:szCs w:val="21"/>
        </w:rPr>
        <w:t>现行有效的企业标准、团体标准、地方标准及产品明示质量要求</w:t>
      </w:r>
    </w:p>
    <w:p>
      <w:pPr>
        <w:spacing w:line="400" w:lineRule="exact"/>
        <w:ind w:firstLine="420" w:firstLineChars="200"/>
        <w:rPr>
          <w:rFonts w:hint="eastAsia"/>
          <w:kern w:val="0"/>
          <w:szCs w:val="21"/>
        </w:rPr>
      </w:pPr>
    </w:p>
    <w:p>
      <w:pPr>
        <w:pStyle w:val="16"/>
        <w:numPr>
          <w:ilvl w:val="0"/>
          <w:numId w:val="0"/>
        </w:numPr>
        <w:spacing w:before="0" w:beforeLines="0" w:after="0" w:afterLines="0" w:line="400" w:lineRule="exact"/>
        <w:rPr>
          <w:rFonts w:hint="eastAsia" w:ascii="Times New Roman"/>
        </w:rPr>
      </w:pPr>
      <w:r>
        <w:rPr>
          <w:rFonts w:hint="eastAsia" w:ascii="Times New Roman"/>
        </w:rPr>
        <w:t>5 抽样</w:t>
      </w:r>
    </w:p>
    <w:p>
      <w:pPr>
        <w:pStyle w:val="14"/>
        <w:numPr>
          <w:ilvl w:val="0"/>
          <w:numId w:val="0"/>
        </w:numPr>
        <w:tabs>
          <w:tab w:val="clear" w:pos="1395"/>
        </w:tabs>
        <w:spacing w:before="0" w:beforeLines="0" w:after="0" w:afterLines="0" w:line="400" w:lineRule="exact"/>
        <w:rPr>
          <w:rFonts w:hint="eastAsia" w:ascii="Times New Roman" w:eastAsia="宋体"/>
        </w:rPr>
      </w:pPr>
      <w:r>
        <w:rPr>
          <w:rFonts w:hint="eastAsia" w:ascii="Times New Roman" w:eastAsia="宋体"/>
        </w:rPr>
        <w:t>5.1抽样型号或规格</w:t>
      </w:r>
    </w:p>
    <w:p>
      <w:pPr>
        <w:pStyle w:val="13"/>
        <w:spacing w:line="400" w:lineRule="exact"/>
        <w:rPr>
          <w:rFonts w:hint="eastAsia" w:ascii="Times New Roman"/>
        </w:rPr>
      </w:pPr>
      <w:r>
        <w:rPr>
          <w:rFonts w:hint="eastAsia" w:ascii="Times New Roman"/>
        </w:rPr>
        <w:t>抽取样品应为同一型号规格、同一批次的产品。</w:t>
      </w:r>
    </w:p>
    <w:p>
      <w:pPr>
        <w:pStyle w:val="14"/>
        <w:numPr>
          <w:ilvl w:val="0"/>
          <w:numId w:val="0"/>
        </w:numPr>
        <w:tabs>
          <w:tab w:val="clear" w:pos="1395"/>
        </w:tabs>
        <w:spacing w:before="0" w:beforeLines="0" w:after="0" w:afterLines="0" w:line="400" w:lineRule="exact"/>
        <w:rPr>
          <w:rFonts w:hint="eastAsia" w:ascii="Times New Roman" w:eastAsia="宋体"/>
          <w:color w:val="FF0000"/>
        </w:rPr>
      </w:pPr>
      <w:r>
        <w:rPr>
          <w:rFonts w:hint="eastAsia" w:ascii="Times New Roman" w:eastAsia="宋体"/>
        </w:rPr>
        <w:t>5.2抽样方法、基数、数量及注意事项</w:t>
      </w:r>
    </w:p>
    <w:p>
      <w:pPr>
        <w:pStyle w:val="15"/>
        <w:numPr>
          <w:ilvl w:val="0"/>
          <w:numId w:val="0"/>
        </w:numPr>
        <w:tabs>
          <w:tab w:val="clear" w:pos="1815"/>
        </w:tabs>
        <w:spacing w:before="0" w:beforeLines="0" w:after="0" w:afterLines="0" w:line="400" w:lineRule="exact"/>
        <w:rPr>
          <w:rFonts w:hint="eastAsia" w:ascii="Times New Roman" w:eastAsia="宋体"/>
        </w:rPr>
      </w:pPr>
      <w:r>
        <w:rPr>
          <w:rFonts w:hint="eastAsia" w:ascii="Times New Roman" w:eastAsia="宋体"/>
        </w:rPr>
        <w:t>5.2.1抽样方法</w:t>
      </w:r>
    </w:p>
    <w:p>
      <w:pPr>
        <w:spacing w:line="400" w:lineRule="exact"/>
        <w:ind w:firstLine="420" w:firstLineChars="200"/>
        <w:rPr>
          <w:rFonts w:hint="eastAsia"/>
          <w:kern w:val="0"/>
          <w:szCs w:val="21"/>
        </w:rPr>
      </w:pPr>
      <w:r>
        <w:rPr>
          <w:rFonts w:hint="eastAsia"/>
          <w:kern w:val="0"/>
          <w:szCs w:val="21"/>
        </w:rPr>
        <w:t>在企业成品库内或市场待销产品中随机抽取有产品质量检验合格证明或者以其他形式表明合格的、近期生产的产品（特殊情况除外）。</w:t>
      </w:r>
    </w:p>
    <w:p>
      <w:pPr>
        <w:spacing w:line="400" w:lineRule="exact"/>
        <w:ind w:firstLine="420" w:firstLineChars="200"/>
        <w:rPr>
          <w:rFonts w:hint="eastAsia"/>
          <w:kern w:val="0"/>
          <w:szCs w:val="21"/>
        </w:rPr>
      </w:pPr>
      <w:r>
        <w:rPr>
          <w:rFonts w:hint="eastAsia"/>
          <w:kern w:val="0"/>
          <w:szCs w:val="21"/>
        </w:rPr>
        <w:t>在网络交易平台抽检，随机抽取有产品质量检验合格证明或者以其他形式表明合格的产品。</w:t>
      </w:r>
    </w:p>
    <w:p>
      <w:pPr>
        <w:spacing w:line="400" w:lineRule="exact"/>
        <w:ind w:firstLine="420" w:firstLineChars="200"/>
        <w:rPr>
          <w:rFonts w:hint="eastAsia"/>
          <w:kern w:val="0"/>
          <w:szCs w:val="21"/>
        </w:rPr>
      </w:pPr>
      <w:r>
        <w:rPr>
          <w:rFonts w:hint="eastAsia"/>
          <w:kern w:val="0"/>
          <w:szCs w:val="21"/>
        </w:rPr>
        <w:t>随机数一般可使用随机数表、骰子或扑克牌等方法产生。</w:t>
      </w:r>
    </w:p>
    <w:p>
      <w:pPr>
        <w:pStyle w:val="15"/>
        <w:numPr>
          <w:ilvl w:val="0"/>
          <w:numId w:val="0"/>
        </w:numPr>
        <w:tabs>
          <w:tab w:val="clear" w:pos="1815"/>
        </w:tabs>
        <w:spacing w:before="0" w:beforeLines="0" w:after="0" w:afterLines="0" w:line="400" w:lineRule="exact"/>
        <w:rPr>
          <w:rFonts w:hint="eastAsia" w:ascii="Times New Roman" w:eastAsia="宋体"/>
        </w:rPr>
      </w:pPr>
      <w:r>
        <w:rPr>
          <w:rFonts w:hint="eastAsia" w:ascii="Times New Roman" w:eastAsia="宋体"/>
        </w:rPr>
        <w:t>5.2.2抽样基数</w:t>
      </w:r>
    </w:p>
    <w:p>
      <w:pPr>
        <w:spacing w:line="400" w:lineRule="exact"/>
        <w:ind w:firstLine="420" w:firstLineChars="200"/>
        <w:rPr>
          <w:rFonts w:hint="eastAsia"/>
          <w:kern w:val="0"/>
          <w:szCs w:val="21"/>
        </w:rPr>
      </w:pPr>
      <w:r>
        <w:rPr>
          <w:rFonts w:hint="eastAsia"/>
          <w:kern w:val="0"/>
          <w:szCs w:val="21"/>
        </w:rPr>
        <w:t>抽样基数满足抽样数量即可。</w:t>
      </w:r>
    </w:p>
    <w:p>
      <w:pPr>
        <w:pStyle w:val="15"/>
        <w:numPr>
          <w:ilvl w:val="0"/>
          <w:numId w:val="0"/>
        </w:numPr>
        <w:tabs>
          <w:tab w:val="clear" w:pos="1815"/>
        </w:tabs>
        <w:spacing w:before="0" w:beforeLines="0" w:after="0" w:afterLines="0" w:line="400" w:lineRule="exact"/>
        <w:rPr>
          <w:rFonts w:hint="eastAsia" w:ascii="Times New Roman" w:eastAsia="宋体"/>
        </w:rPr>
      </w:pPr>
      <w:r>
        <w:rPr>
          <w:rFonts w:hint="eastAsia" w:ascii="Times New Roman" w:eastAsia="宋体"/>
        </w:rPr>
        <w:t>5.2.3抽样数量</w:t>
      </w:r>
    </w:p>
    <w:p>
      <w:pPr>
        <w:pStyle w:val="17"/>
        <w:numPr>
          <w:ilvl w:val="0"/>
          <w:numId w:val="2"/>
        </w:numPr>
        <w:spacing w:before="0" w:beforeLines="0" w:after="0" w:afterLines="0" w:line="400" w:lineRule="exact"/>
        <w:rPr>
          <w:rFonts w:hint="eastAsia" w:ascii="宋体" w:hAnsi="宋体"/>
          <w:szCs w:val="21"/>
        </w:rPr>
      </w:pPr>
      <w:r>
        <w:rPr>
          <w:rFonts w:hint="eastAsia" w:ascii="宋体" w:hAnsi="宋体" w:eastAsia="宋体" w:cs="宋体"/>
          <w:b/>
          <w:bCs/>
        </w:rPr>
        <w:t>抽样数量</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9"/>
        <w:gridCol w:w="2835"/>
        <w:gridCol w:w="2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19" w:type="dxa"/>
            <w:vMerge w:val="restart"/>
            <w:noWrap w:val="0"/>
            <w:vAlign w:val="center"/>
          </w:tcPr>
          <w:p>
            <w:pPr>
              <w:tabs>
                <w:tab w:val="left" w:pos="1320"/>
              </w:tabs>
              <w:snapToGrid w:val="0"/>
              <w:spacing w:line="480" w:lineRule="exact"/>
              <w:jc w:val="center"/>
              <w:rPr>
                <w:rFonts w:hint="eastAsia" w:ascii="宋体" w:hAnsi="宋体"/>
                <w:szCs w:val="21"/>
              </w:rPr>
            </w:pPr>
            <w:r>
              <w:rPr>
                <w:rFonts w:ascii="Arial" w:hAnsi="Arial" w:cs="Arial"/>
                <w:color w:val="000000"/>
                <w:shd w:val="clear" w:color="auto" w:fill="FFFFFF"/>
              </w:rPr>
              <w:t>产品种类</w:t>
            </w:r>
          </w:p>
        </w:tc>
        <w:tc>
          <w:tcPr>
            <w:tcW w:w="5607" w:type="dxa"/>
            <w:gridSpan w:val="2"/>
            <w:noWrap w:val="0"/>
            <w:vAlign w:val="center"/>
          </w:tcPr>
          <w:p>
            <w:pPr>
              <w:tabs>
                <w:tab w:val="left" w:pos="1320"/>
              </w:tabs>
              <w:snapToGrid w:val="0"/>
              <w:spacing w:line="480" w:lineRule="exact"/>
              <w:jc w:val="center"/>
              <w:rPr>
                <w:rFonts w:hint="eastAsia" w:ascii="宋体" w:hAnsi="宋体"/>
                <w:szCs w:val="21"/>
              </w:rPr>
            </w:pPr>
            <w:r>
              <w:rPr>
                <w:rFonts w:hint="eastAsia" w:ascii="宋体" w:hAnsi="宋体"/>
                <w:szCs w:val="21"/>
              </w:rPr>
              <w:t>抽样数量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vMerge w:val="continue"/>
            <w:noWrap w:val="0"/>
            <w:vAlign w:val="center"/>
          </w:tcPr>
          <w:p>
            <w:pPr>
              <w:tabs>
                <w:tab w:val="left" w:pos="1320"/>
              </w:tabs>
              <w:snapToGrid w:val="0"/>
              <w:spacing w:line="480" w:lineRule="exact"/>
              <w:jc w:val="center"/>
              <w:rPr>
                <w:rFonts w:hint="eastAsia" w:ascii="宋体" w:hAnsi="宋体"/>
                <w:szCs w:val="21"/>
              </w:rPr>
            </w:pPr>
          </w:p>
        </w:tc>
        <w:tc>
          <w:tcPr>
            <w:tcW w:w="2835" w:type="dxa"/>
            <w:noWrap w:val="0"/>
            <w:vAlign w:val="center"/>
          </w:tcPr>
          <w:p>
            <w:pPr>
              <w:tabs>
                <w:tab w:val="left" w:pos="1320"/>
              </w:tabs>
              <w:snapToGrid w:val="0"/>
              <w:spacing w:line="480" w:lineRule="exact"/>
              <w:jc w:val="center"/>
              <w:rPr>
                <w:rFonts w:hint="eastAsia" w:ascii="宋体" w:hAnsi="宋体"/>
                <w:szCs w:val="21"/>
              </w:rPr>
            </w:pPr>
            <w:r>
              <w:rPr>
                <w:rFonts w:hint="eastAsia" w:ascii="宋体" w:hAnsi="宋体"/>
                <w:szCs w:val="21"/>
              </w:rPr>
              <w:t>检验数量</w:t>
            </w:r>
          </w:p>
        </w:tc>
        <w:tc>
          <w:tcPr>
            <w:tcW w:w="2772" w:type="dxa"/>
            <w:noWrap w:val="0"/>
            <w:vAlign w:val="center"/>
          </w:tcPr>
          <w:p>
            <w:pPr>
              <w:tabs>
                <w:tab w:val="left" w:pos="1320"/>
              </w:tabs>
              <w:snapToGrid w:val="0"/>
              <w:spacing w:line="480" w:lineRule="exact"/>
              <w:jc w:val="center"/>
              <w:rPr>
                <w:rFonts w:hint="eastAsia" w:ascii="宋体" w:hAnsi="宋体"/>
                <w:szCs w:val="21"/>
              </w:rPr>
            </w:pPr>
            <w:r>
              <w:rPr>
                <w:rFonts w:hint="eastAsia" w:ascii="宋体" w:hAnsi="宋体"/>
                <w:szCs w:val="21"/>
              </w:rPr>
              <w:t>备样数量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3119" w:type="dxa"/>
            <w:noWrap w:val="0"/>
            <w:vAlign w:val="center"/>
          </w:tcPr>
          <w:p>
            <w:pPr>
              <w:spacing w:line="400" w:lineRule="exact"/>
              <w:jc w:val="center"/>
              <w:rPr>
                <w:rFonts w:hint="eastAsia" w:ascii="宋体" w:hAnsi="宋体" w:cs="宋体"/>
                <w:kern w:val="0"/>
                <w:szCs w:val="21"/>
              </w:rPr>
            </w:pPr>
            <w:r>
              <w:rPr>
                <w:rFonts w:hint="eastAsia" w:ascii="宋体" w:hAnsi="宋体" w:cs="宋体"/>
                <w:kern w:val="0"/>
                <w:szCs w:val="21"/>
              </w:rPr>
              <w:t>铅酸蓄电池</w:t>
            </w:r>
          </w:p>
        </w:tc>
        <w:tc>
          <w:tcPr>
            <w:tcW w:w="2835" w:type="dxa"/>
            <w:noWrap w:val="0"/>
            <w:vAlign w:val="center"/>
          </w:tcPr>
          <w:p>
            <w:pPr>
              <w:tabs>
                <w:tab w:val="left" w:pos="1320"/>
              </w:tabs>
              <w:snapToGrid w:val="0"/>
              <w:spacing w:line="480" w:lineRule="exact"/>
              <w:jc w:val="center"/>
              <w:rPr>
                <w:rFonts w:hint="eastAsia" w:ascii="宋体" w:hAnsi="宋体"/>
                <w:szCs w:val="21"/>
              </w:rPr>
            </w:pPr>
            <w:r>
              <w:rPr>
                <w:rFonts w:hint="eastAsia" w:ascii="宋体" w:hAnsi="宋体"/>
                <w:szCs w:val="21"/>
              </w:rPr>
              <w:t>2只</w:t>
            </w:r>
          </w:p>
        </w:tc>
        <w:tc>
          <w:tcPr>
            <w:tcW w:w="2772" w:type="dxa"/>
            <w:noWrap w:val="0"/>
            <w:vAlign w:val="center"/>
          </w:tcPr>
          <w:p>
            <w:pPr>
              <w:tabs>
                <w:tab w:val="left" w:pos="1320"/>
              </w:tabs>
              <w:snapToGrid w:val="0"/>
              <w:spacing w:line="480" w:lineRule="exact"/>
              <w:jc w:val="center"/>
              <w:rPr>
                <w:rFonts w:hint="eastAsia" w:ascii="宋体" w:hAnsi="宋体"/>
                <w:szCs w:val="21"/>
              </w:rPr>
            </w:pPr>
            <w:r>
              <w:rPr>
                <w:rFonts w:hint="eastAsia" w:ascii="宋体" w:hAnsi="宋体"/>
                <w:szCs w:val="21"/>
              </w:rPr>
              <w:t>2只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3119" w:type="dxa"/>
            <w:noWrap w:val="0"/>
            <w:vAlign w:val="center"/>
          </w:tcPr>
          <w:p>
            <w:pPr>
              <w:spacing w:line="400" w:lineRule="exact"/>
              <w:jc w:val="center"/>
              <w:rPr>
                <w:rFonts w:hint="eastAsia" w:ascii="宋体" w:hAnsi="宋体" w:cs="宋体"/>
                <w:kern w:val="0"/>
                <w:sz w:val="21"/>
                <w:szCs w:val="21"/>
                <w:lang w:val="en-US" w:eastAsia="zh-CN" w:bidi="ar-SA"/>
              </w:rPr>
            </w:pPr>
            <w:r>
              <w:rPr>
                <w:rFonts w:hint="eastAsia" w:ascii="宋体" w:hAnsi="宋体" w:cs="宋体"/>
                <w:kern w:val="0"/>
                <w:szCs w:val="21"/>
              </w:rPr>
              <w:t>锂离子蓄电池组</w:t>
            </w:r>
          </w:p>
        </w:tc>
        <w:tc>
          <w:tcPr>
            <w:tcW w:w="2835" w:type="dxa"/>
            <w:noWrap w:val="0"/>
            <w:vAlign w:val="center"/>
          </w:tcPr>
          <w:p>
            <w:pPr>
              <w:tabs>
                <w:tab w:val="left" w:pos="1320"/>
              </w:tabs>
              <w:snapToGrid w:val="0"/>
              <w:spacing w:line="480" w:lineRule="exact"/>
              <w:jc w:val="center"/>
              <w:rPr>
                <w:rFonts w:hint="eastAsia" w:ascii="宋体" w:hAnsi="宋体"/>
                <w:kern w:val="2"/>
                <w:sz w:val="21"/>
                <w:szCs w:val="21"/>
                <w:lang w:val="en-US" w:eastAsia="zh-CN" w:bidi="ar-SA"/>
              </w:rPr>
            </w:pPr>
            <w:r>
              <w:rPr>
                <w:rFonts w:hint="eastAsia" w:ascii="宋体" w:hAnsi="宋体"/>
                <w:szCs w:val="21"/>
              </w:rPr>
              <w:t>1组</w:t>
            </w:r>
          </w:p>
        </w:tc>
        <w:tc>
          <w:tcPr>
            <w:tcW w:w="2772" w:type="dxa"/>
            <w:noWrap w:val="0"/>
            <w:vAlign w:val="center"/>
          </w:tcPr>
          <w:p>
            <w:pPr>
              <w:tabs>
                <w:tab w:val="left" w:pos="1320"/>
              </w:tabs>
              <w:snapToGrid w:val="0"/>
              <w:spacing w:line="480" w:lineRule="exact"/>
              <w:jc w:val="center"/>
              <w:rPr>
                <w:rFonts w:hint="eastAsia" w:ascii="宋体" w:hAnsi="宋体"/>
                <w:kern w:val="2"/>
                <w:sz w:val="21"/>
                <w:szCs w:val="21"/>
                <w:lang w:val="en-US" w:eastAsia="zh-CN" w:bidi="ar-SA"/>
              </w:rPr>
            </w:pPr>
            <w:r>
              <w:rPr>
                <w:rFonts w:hint="eastAsia" w:ascii="宋体" w:hAnsi="宋体"/>
                <w:szCs w:val="21"/>
              </w:rPr>
              <w:t>1组</w:t>
            </w:r>
          </w:p>
        </w:tc>
      </w:tr>
    </w:tbl>
    <w:p>
      <w:pPr>
        <w:spacing w:line="400" w:lineRule="exact"/>
        <w:ind w:firstLine="420" w:firstLineChars="200"/>
        <w:rPr>
          <w:rFonts w:hint="eastAsia" w:ascii="宋体" w:hAnsi="宋体" w:eastAsia="宋体" w:cs="宋体"/>
          <w:kern w:val="0"/>
          <w:szCs w:val="21"/>
          <w:highlight w:val="none"/>
          <w:lang w:eastAsia="zh-CN"/>
        </w:rPr>
      </w:pPr>
      <w:r>
        <w:rPr>
          <w:rFonts w:hint="eastAsia" w:ascii="宋体" w:hAnsi="宋体" w:cs="宋体"/>
          <w:kern w:val="0"/>
          <w:szCs w:val="21"/>
          <w:highlight w:val="none"/>
        </w:rPr>
        <w:t>生产领域：随机抽取同一规格同一型号的样品，检验样品</w:t>
      </w:r>
      <w:r>
        <w:rPr>
          <w:rFonts w:hint="eastAsia" w:ascii="宋体" w:hAnsi="宋体" w:cs="宋体"/>
          <w:kern w:val="0"/>
          <w:szCs w:val="21"/>
          <w:highlight w:val="none"/>
          <w:lang w:val="en-US" w:eastAsia="zh-CN"/>
        </w:rPr>
        <w:t>均</w:t>
      </w:r>
      <w:r>
        <w:rPr>
          <w:rFonts w:hint="eastAsia" w:ascii="宋体" w:hAnsi="宋体" w:cs="宋体"/>
          <w:kern w:val="0"/>
          <w:szCs w:val="21"/>
          <w:highlight w:val="none"/>
        </w:rPr>
        <w:t>带回承检机构，铅酸蓄电池备用样品封存于承检机构</w:t>
      </w:r>
      <w:r>
        <w:rPr>
          <w:rFonts w:hint="eastAsia" w:ascii="宋体" w:hAnsi="宋体" w:cs="宋体"/>
          <w:kern w:val="0"/>
          <w:szCs w:val="21"/>
          <w:highlight w:val="none"/>
          <w:lang w:eastAsia="zh-CN"/>
        </w:rPr>
        <w:t>，</w:t>
      </w:r>
      <w:r>
        <w:rPr>
          <w:rFonts w:hint="eastAsia" w:ascii="宋体" w:hAnsi="宋体" w:cs="宋体"/>
          <w:kern w:val="0"/>
          <w:szCs w:val="21"/>
          <w:highlight w:val="none"/>
        </w:rPr>
        <w:t>锂离子蓄电池组备用样品封存于</w:t>
      </w:r>
      <w:r>
        <w:rPr>
          <w:rFonts w:hint="eastAsia" w:ascii="宋体" w:hAnsi="宋体" w:cs="宋体"/>
          <w:kern w:val="0"/>
          <w:szCs w:val="21"/>
          <w:highlight w:val="none"/>
          <w:lang w:val="en-US" w:eastAsia="zh-CN"/>
        </w:rPr>
        <w:t>受检单位。</w:t>
      </w:r>
    </w:p>
    <w:p>
      <w:pPr>
        <w:spacing w:line="400" w:lineRule="exact"/>
        <w:ind w:firstLine="420" w:firstLineChars="200"/>
        <w:rPr>
          <w:rFonts w:hint="eastAsia" w:ascii="宋体" w:hAnsi="宋体" w:cs="宋体"/>
          <w:kern w:val="0"/>
          <w:szCs w:val="21"/>
          <w:highlight w:val="none"/>
          <w:lang w:val="en-US" w:eastAsia="zh-CN"/>
        </w:rPr>
      </w:pPr>
      <w:r>
        <w:rPr>
          <w:rFonts w:hint="eastAsia" w:ascii="宋体" w:hAnsi="宋体" w:cs="宋体"/>
          <w:kern w:val="0"/>
          <w:szCs w:val="21"/>
          <w:highlight w:val="none"/>
        </w:rPr>
        <w:t>流通领域（实体店）：随机抽取同一规格同一型号的样品，检验样品</w:t>
      </w:r>
      <w:r>
        <w:rPr>
          <w:rFonts w:hint="eastAsia" w:ascii="宋体" w:hAnsi="宋体" w:cs="宋体"/>
          <w:kern w:val="0"/>
          <w:szCs w:val="21"/>
          <w:highlight w:val="none"/>
          <w:lang w:val="en-US" w:eastAsia="zh-CN"/>
        </w:rPr>
        <w:t>均</w:t>
      </w:r>
      <w:r>
        <w:rPr>
          <w:rFonts w:hint="eastAsia" w:ascii="宋体" w:hAnsi="宋体" w:cs="宋体"/>
          <w:kern w:val="0"/>
          <w:szCs w:val="21"/>
          <w:highlight w:val="none"/>
        </w:rPr>
        <w:t>带回承检机构，铅酸蓄电池备用样品封存于承检机构</w:t>
      </w:r>
      <w:r>
        <w:rPr>
          <w:rFonts w:hint="eastAsia" w:ascii="宋体" w:hAnsi="宋体" w:cs="宋体"/>
          <w:kern w:val="0"/>
          <w:szCs w:val="21"/>
          <w:highlight w:val="none"/>
          <w:lang w:eastAsia="zh-CN"/>
        </w:rPr>
        <w:t>，</w:t>
      </w:r>
      <w:r>
        <w:rPr>
          <w:rFonts w:hint="eastAsia" w:ascii="宋体" w:hAnsi="宋体" w:cs="宋体"/>
          <w:kern w:val="0"/>
          <w:szCs w:val="21"/>
          <w:highlight w:val="none"/>
        </w:rPr>
        <w:t>锂离子蓄电池组备用样品封存于</w:t>
      </w:r>
      <w:r>
        <w:rPr>
          <w:rFonts w:hint="eastAsia" w:ascii="宋体" w:hAnsi="宋体" w:cs="宋体"/>
          <w:kern w:val="0"/>
          <w:szCs w:val="21"/>
          <w:highlight w:val="none"/>
          <w:lang w:val="en-US" w:eastAsia="zh-CN"/>
        </w:rPr>
        <w:t>受检单位。</w:t>
      </w:r>
    </w:p>
    <w:p>
      <w:pPr>
        <w:spacing w:line="40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流通领域（网络交易平台）：随机抽取同一规格同一型号的样品，检验样品</w:t>
      </w:r>
      <w:r>
        <w:rPr>
          <w:rFonts w:hint="eastAsia" w:ascii="宋体" w:hAnsi="宋体" w:cs="宋体"/>
          <w:kern w:val="0"/>
          <w:szCs w:val="21"/>
          <w:highlight w:val="none"/>
          <w:lang w:val="en-US" w:eastAsia="zh-CN"/>
        </w:rPr>
        <w:t>均</w:t>
      </w:r>
      <w:r>
        <w:rPr>
          <w:rFonts w:hint="eastAsia" w:ascii="宋体" w:hAnsi="宋体" w:cs="宋体"/>
          <w:kern w:val="0"/>
          <w:szCs w:val="21"/>
          <w:highlight w:val="none"/>
        </w:rPr>
        <w:t>带回承检机构，备用样品</w:t>
      </w:r>
      <w:r>
        <w:rPr>
          <w:rFonts w:hint="eastAsia" w:ascii="宋体" w:hAnsi="宋体" w:cs="宋体"/>
          <w:kern w:val="0"/>
          <w:szCs w:val="21"/>
          <w:highlight w:val="none"/>
          <w:lang w:val="en-US" w:eastAsia="zh-CN"/>
        </w:rPr>
        <w:t>均</w:t>
      </w:r>
      <w:r>
        <w:rPr>
          <w:rFonts w:hint="eastAsia" w:ascii="宋体" w:hAnsi="宋体" w:cs="宋体"/>
          <w:kern w:val="0"/>
          <w:szCs w:val="21"/>
          <w:highlight w:val="none"/>
        </w:rPr>
        <w:t>封存于承检机构。</w:t>
      </w:r>
    </w:p>
    <w:p>
      <w:pPr>
        <w:spacing w:line="400" w:lineRule="exact"/>
        <w:ind w:firstLine="422" w:firstLineChars="200"/>
        <w:rPr>
          <w:rFonts w:ascii="宋体" w:hAnsi="宋体" w:cs="Sim Sun"/>
          <w:b/>
          <w:bCs/>
          <w:kern w:val="0"/>
          <w:szCs w:val="21"/>
        </w:rPr>
      </w:pPr>
      <w:r>
        <w:rPr>
          <w:rFonts w:hint="eastAsia" w:ascii="宋体" w:hAnsi="宋体" w:cs="Sim Sun"/>
          <w:b/>
          <w:bCs/>
          <w:kern w:val="0"/>
          <w:szCs w:val="21"/>
        </w:rPr>
        <w:t>注1：标准要求铅酸蓄电池容量测试应在蓄电池生产后的3个月内进行，除去抽样及检验环节，所抽蓄电池的生产日期应在2个月内。</w:t>
      </w:r>
    </w:p>
    <w:p>
      <w:pPr>
        <w:spacing w:line="400" w:lineRule="exact"/>
        <w:ind w:firstLine="422" w:firstLineChars="200"/>
        <w:rPr>
          <w:b/>
          <w:bCs/>
          <w:kern w:val="0"/>
          <w:szCs w:val="21"/>
        </w:rPr>
      </w:pPr>
      <w:r>
        <w:rPr>
          <w:rFonts w:hint="eastAsia" w:ascii="宋体" w:hAnsi="宋体" w:cs="Sim Sun"/>
          <w:b/>
          <w:bCs/>
          <w:kern w:val="0"/>
          <w:szCs w:val="21"/>
        </w:rPr>
        <w:t>注2：</w:t>
      </w:r>
      <w:r>
        <w:rPr>
          <w:rFonts w:hint="eastAsia" w:ascii="宋体" w:hAnsi="宋体" w:cs="Sim Sun"/>
          <w:b/>
          <w:bCs/>
          <w:kern w:val="0"/>
          <w:szCs w:val="21"/>
          <w:lang w:val="en-US" w:eastAsia="zh-CN"/>
        </w:rPr>
        <w:t>受</w:t>
      </w:r>
      <w:r>
        <w:rPr>
          <w:rFonts w:hint="eastAsia" w:ascii="宋体" w:hAnsi="宋体" w:cs="Sim Sun"/>
          <w:b/>
          <w:bCs/>
          <w:kern w:val="0"/>
          <w:szCs w:val="21"/>
        </w:rPr>
        <w:t>检单位</w:t>
      </w:r>
      <w:r>
        <w:rPr>
          <w:rFonts w:hint="eastAsia" w:ascii="宋体" w:hAnsi="宋体" w:cs="Sim Sun"/>
          <w:b/>
          <w:bCs/>
          <w:kern w:val="0"/>
          <w:szCs w:val="21"/>
          <w:lang w:val="en-US" w:eastAsia="zh-CN"/>
        </w:rPr>
        <w:t>应</w:t>
      </w:r>
      <w:r>
        <w:rPr>
          <w:rFonts w:hint="eastAsia" w:ascii="宋体" w:hAnsi="宋体" w:cs="Sim Sun"/>
          <w:b/>
          <w:bCs/>
          <w:kern w:val="0"/>
          <w:szCs w:val="21"/>
        </w:rPr>
        <w:t>提供锂离子蓄电池</w:t>
      </w:r>
      <w:r>
        <w:rPr>
          <w:rFonts w:hint="eastAsia" w:ascii="宋体" w:hAnsi="宋体" w:cs="Sim Sun"/>
          <w:b/>
          <w:bCs/>
          <w:kern w:val="0"/>
          <w:szCs w:val="21"/>
          <w:lang w:val="en-US" w:eastAsia="zh-CN"/>
        </w:rPr>
        <w:t>组</w:t>
      </w:r>
      <w:r>
        <w:rPr>
          <w:rFonts w:hint="eastAsia" w:ascii="宋体" w:hAnsi="宋体" w:cs="Sim Sun"/>
          <w:b/>
          <w:bCs/>
          <w:kern w:val="0"/>
          <w:szCs w:val="21"/>
        </w:rPr>
        <w:t>样品的充电限制电压和放电截止电压，抽样人员要把这两个参数记录在抽样单上。</w:t>
      </w:r>
    </w:p>
    <w:p>
      <w:pPr>
        <w:pStyle w:val="15"/>
        <w:numPr>
          <w:ilvl w:val="0"/>
          <w:numId w:val="0"/>
        </w:numPr>
        <w:tabs>
          <w:tab w:val="clear" w:pos="1815"/>
        </w:tabs>
        <w:spacing w:before="0" w:beforeLines="0" w:after="0" w:afterLines="0" w:line="400" w:lineRule="exact"/>
        <w:rPr>
          <w:rFonts w:hint="eastAsia" w:ascii="Times New Roman" w:eastAsia="宋体"/>
        </w:rPr>
      </w:pPr>
      <w:r>
        <w:rPr>
          <w:rFonts w:hint="eastAsia" w:ascii="Times New Roman" w:eastAsia="宋体"/>
        </w:rPr>
        <w:t>5.2.4注意事项</w:t>
      </w:r>
    </w:p>
    <w:p>
      <w:pPr>
        <w:spacing w:line="400" w:lineRule="exact"/>
        <w:ind w:firstLine="420" w:firstLineChars="200"/>
        <w:rPr>
          <w:rFonts w:hint="eastAsia" w:ascii="宋体" w:hAnsi="宋体" w:eastAsia="宋体" w:cs="宋体"/>
          <w:kern w:val="0"/>
          <w:szCs w:val="21"/>
        </w:rPr>
      </w:pPr>
      <w:r>
        <w:rPr>
          <w:rFonts w:hint="eastAsia" w:ascii="宋体" w:hAnsi="宋体" w:eastAsia="宋体" w:cs="宋体"/>
          <w:kern w:val="0"/>
          <w:szCs w:val="21"/>
        </w:rPr>
        <w:t xml:space="preserve">抽样人员应当使用规定的抽样文书记录抽样信息，并对抽样场所、贮存环境、被抽样产品的标识、库存数量、抽样过程等通过拍照或者录像的方式留存证据。 </w:t>
      </w:r>
    </w:p>
    <w:p>
      <w:pPr>
        <w:spacing w:line="400" w:lineRule="exact"/>
        <w:ind w:firstLine="420" w:firstLineChars="200"/>
        <w:rPr>
          <w:rFonts w:hint="eastAsia" w:ascii="宋体" w:hAnsi="宋体" w:eastAsia="宋体" w:cs="宋体"/>
          <w:kern w:val="0"/>
          <w:szCs w:val="21"/>
        </w:rPr>
      </w:pPr>
      <w:r>
        <w:rPr>
          <w:rFonts w:hint="eastAsia" w:ascii="宋体" w:hAnsi="宋体" w:eastAsia="宋体" w:cs="宋体"/>
          <w:kern w:val="0"/>
          <w:szCs w:val="21"/>
        </w:rPr>
        <w:t>抽样人员应在加贴封条前后对抽取的样品进行拍照。样品加贴封条前，对产品外观、外包装、产品标签、产品合格证等四个方面进行拍照，拍取的照片应能够清晰反映所抽样品的生产单位名称、样品名称、型号规格、抽样日期、执行标准等信息内容。样品加贴封条后，对检验样品和备用样品进行拍照，拍取的照片应能够反映出样品加贴封条完好的全貌；若一张照片无法反映样品和封条细节，需分别拍摄多张照片。照片由抽样人员传送至检验机构，检验机构出具检验报告时应将样品照片（外观、外包装、产品标签、产品合格证(如能取到时)、加贴封条的样品等照片）纳入报告中。</w:t>
      </w:r>
    </w:p>
    <w:p>
      <w:pPr>
        <w:pStyle w:val="14"/>
        <w:numPr>
          <w:ilvl w:val="0"/>
          <w:numId w:val="0"/>
        </w:numPr>
        <w:tabs>
          <w:tab w:val="clear" w:pos="1395"/>
        </w:tabs>
        <w:spacing w:before="0" w:beforeLines="0" w:after="0" w:afterLines="0" w:line="400" w:lineRule="exact"/>
        <w:rPr>
          <w:rFonts w:hint="eastAsia" w:ascii="Times New Roman" w:eastAsia="宋体"/>
        </w:rPr>
      </w:pPr>
      <w:r>
        <w:rPr>
          <w:rFonts w:hint="eastAsia" w:ascii="Times New Roman" w:eastAsia="宋体"/>
        </w:rPr>
        <w:t>5.3样品处置</w:t>
      </w:r>
    </w:p>
    <w:p>
      <w:pPr>
        <w:spacing w:line="400" w:lineRule="exact"/>
        <w:rPr>
          <w:rFonts w:hint="eastAsia"/>
          <w:color w:val="000000"/>
        </w:rPr>
      </w:pPr>
      <w:r>
        <w:rPr>
          <w:rFonts w:hint="eastAsia"/>
          <w:szCs w:val="21"/>
        </w:rPr>
        <w:t>5.3.1检样和备样应分别签封，并在封条与样品处或样品外包装处进行骑缝签名。</w:t>
      </w:r>
      <w:r>
        <w:rPr>
          <w:rFonts w:hint="eastAsia"/>
          <w:color w:val="000000"/>
        </w:rPr>
        <w:t>为保证样品的真实性，要有相应的防拆封措施，并保证封条在运输过程中不会破损。</w:t>
      </w:r>
    </w:p>
    <w:p>
      <w:pPr>
        <w:spacing w:line="400" w:lineRule="exact"/>
        <w:rPr>
          <w:rFonts w:hint="eastAsia"/>
          <w:szCs w:val="21"/>
        </w:rPr>
      </w:pPr>
      <w:r>
        <w:rPr>
          <w:rFonts w:hint="eastAsia"/>
          <w:szCs w:val="21"/>
        </w:rPr>
        <w:t>5.3.2抽取的样品按运输条件进行包装，以保证在运送和保存时不受重压、潮湿、雨淋、暴晒或与油及酸、碱等腐蚀性物质接触。</w:t>
      </w:r>
    </w:p>
    <w:p>
      <w:pPr>
        <w:spacing w:line="400" w:lineRule="exact"/>
        <w:rPr>
          <w:rFonts w:hint="eastAsia"/>
          <w:szCs w:val="21"/>
        </w:rPr>
      </w:pPr>
      <w:r>
        <w:rPr>
          <w:rFonts w:hint="eastAsia"/>
          <w:szCs w:val="21"/>
        </w:rPr>
        <w:t>5.3.3如产品包装或说明书等材料上标明特殊储存或搬运要求，样品应按要求进行处理。</w:t>
      </w:r>
    </w:p>
    <w:p>
      <w:pPr>
        <w:pStyle w:val="14"/>
        <w:numPr>
          <w:ilvl w:val="0"/>
          <w:numId w:val="0"/>
        </w:numPr>
        <w:tabs>
          <w:tab w:val="clear" w:pos="1395"/>
        </w:tabs>
        <w:spacing w:before="0" w:beforeLines="0" w:after="0" w:afterLines="0" w:line="400" w:lineRule="exact"/>
        <w:rPr>
          <w:rFonts w:hint="eastAsia" w:ascii="Times New Roman" w:eastAsia="宋体"/>
        </w:rPr>
      </w:pPr>
      <w:r>
        <w:rPr>
          <w:rFonts w:hint="eastAsia" w:ascii="Times New Roman" w:eastAsia="宋体"/>
        </w:rPr>
        <w:t>5.4抽样单</w:t>
      </w:r>
    </w:p>
    <w:p>
      <w:pPr>
        <w:pStyle w:val="15"/>
        <w:numPr>
          <w:ilvl w:val="0"/>
          <w:numId w:val="0"/>
        </w:numPr>
        <w:tabs>
          <w:tab w:val="clear" w:pos="1815"/>
        </w:tabs>
        <w:spacing w:before="0" w:beforeLines="0" w:after="0" w:afterLines="0" w:line="400" w:lineRule="exact"/>
        <w:rPr>
          <w:rFonts w:hint="eastAsia" w:ascii="Times New Roman" w:eastAsia="宋体"/>
        </w:rPr>
      </w:pPr>
      <w:r>
        <w:rPr>
          <w:rFonts w:hint="eastAsia" w:ascii="Times New Roman" w:eastAsia="宋体"/>
        </w:rPr>
        <w:t>5.4.1生产领域</w:t>
      </w:r>
    </w:p>
    <w:p>
      <w:pPr>
        <w:spacing w:line="400" w:lineRule="exact"/>
        <w:ind w:firstLine="420" w:firstLineChars="200"/>
        <w:rPr>
          <w:rFonts w:hint="eastAsia"/>
        </w:rPr>
      </w:pPr>
      <w:r>
        <w:rPr>
          <w:rFonts w:hint="eastAsia"/>
          <w:szCs w:val="21"/>
        </w:rPr>
        <w:t>应按有关规定填写抽样单，并记录被抽查产品及企业相关信息。同时记录受检单位上一年度生产的</w:t>
      </w:r>
      <w:r>
        <w:rPr>
          <w:rFonts w:hint="eastAsia"/>
          <w:kern w:val="0"/>
          <w:szCs w:val="21"/>
        </w:rPr>
        <w:t>电动自行车用蓄电池</w:t>
      </w:r>
      <w:r>
        <w:rPr>
          <w:rFonts w:hint="eastAsia"/>
          <w:szCs w:val="21"/>
        </w:rPr>
        <w:t>产品销售总额，以万元计；若企业上一年度未生产，则记录本年度实际产量与销售额，并加以注明。对于产品检验所需的样品技术参数等信息，需要被抽企业提供的，应在抽样现场获取，并经企业确认。</w:t>
      </w:r>
      <w:r>
        <w:rPr>
          <w:rFonts w:hint="eastAsia"/>
        </w:rPr>
        <w:t>抽样单需由抽样人及企业人员双方签字。</w:t>
      </w:r>
    </w:p>
    <w:p>
      <w:pPr>
        <w:pStyle w:val="15"/>
        <w:numPr>
          <w:ilvl w:val="0"/>
          <w:numId w:val="0"/>
        </w:numPr>
        <w:tabs>
          <w:tab w:val="clear" w:pos="1815"/>
        </w:tabs>
        <w:spacing w:before="0" w:beforeLines="0" w:after="0" w:afterLines="0" w:line="400" w:lineRule="exact"/>
        <w:rPr>
          <w:rFonts w:hint="eastAsia" w:ascii="Times New Roman" w:eastAsia="宋体"/>
        </w:rPr>
      </w:pPr>
      <w:r>
        <w:rPr>
          <w:rFonts w:hint="eastAsia" w:ascii="Times New Roman" w:eastAsia="宋体"/>
        </w:rPr>
        <w:t>5.4.2流通领域（实体店）</w:t>
      </w:r>
    </w:p>
    <w:p>
      <w:pPr>
        <w:snapToGrid w:val="0"/>
        <w:spacing w:line="400" w:lineRule="exact"/>
        <w:ind w:firstLine="420" w:firstLineChars="200"/>
        <w:rPr>
          <w:rFonts w:hint="eastAsia"/>
        </w:rPr>
      </w:pPr>
      <w:r>
        <w:rPr>
          <w:rFonts w:hint="eastAsia"/>
          <w:szCs w:val="21"/>
        </w:rPr>
        <w:t>应按有关规定填写抽样单，并记录被抽查商品及受检单位相关信息。同时记录被抽查商品</w:t>
      </w:r>
      <w:r>
        <w:rPr>
          <w:rFonts w:hint="eastAsia"/>
        </w:rPr>
        <w:t>的进货量和库存量，以对应商品的单位计；记录被抽查商品的销售单价，以元计。对于商品检验所需的样品技术参数包括被抽查商品的依据标准等信息，需要受检单位提供的，应在抽样现场获取，并经受检单位确认。</w:t>
      </w:r>
    </w:p>
    <w:p>
      <w:pPr>
        <w:pStyle w:val="15"/>
        <w:numPr>
          <w:ilvl w:val="0"/>
          <w:numId w:val="0"/>
        </w:numPr>
        <w:tabs>
          <w:tab w:val="clear" w:pos="1815"/>
        </w:tabs>
        <w:spacing w:before="0" w:beforeLines="0" w:after="0" w:afterLines="0" w:line="400" w:lineRule="exact"/>
        <w:rPr>
          <w:rFonts w:hint="eastAsia" w:ascii="Times New Roman" w:eastAsia="宋体"/>
        </w:rPr>
      </w:pPr>
      <w:r>
        <w:rPr>
          <w:rFonts w:hint="eastAsia" w:ascii="Times New Roman" w:eastAsia="宋体"/>
        </w:rPr>
        <w:t>5.4.3流通领域（网络交易平台）</w:t>
      </w:r>
    </w:p>
    <w:p>
      <w:pPr>
        <w:snapToGrid w:val="0"/>
        <w:spacing w:line="400" w:lineRule="exact"/>
        <w:ind w:firstLine="420" w:firstLineChars="200"/>
        <w:rPr>
          <w:rFonts w:hint="eastAsia"/>
        </w:rPr>
      </w:pPr>
      <w:r>
        <w:rPr>
          <w:rFonts w:hint="eastAsia"/>
          <w:szCs w:val="21"/>
        </w:rPr>
        <w:t>应按有关规定填写抽样单，并记录被抽查产品及受检单位相关信息。</w:t>
      </w:r>
      <w:r>
        <w:rPr>
          <w:rFonts w:hint="eastAsia"/>
        </w:rPr>
        <w:t>向商家索取发票，并保留购样聊天记录等电子凭证。</w:t>
      </w:r>
    </w:p>
    <w:p>
      <w:pPr>
        <w:snapToGrid w:val="0"/>
        <w:spacing w:line="400" w:lineRule="exact"/>
        <w:ind w:firstLine="420" w:firstLineChars="200"/>
        <w:rPr>
          <w:rFonts w:hint="eastAsia"/>
        </w:rPr>
      </w:pPr>
    </w:p>
    <w:p>
      <w:pPr>
        <w:pStyle w:val="16"/>
        <w:numPr>
          <w:ilvl w:val="0"/>
          <w:numId w:val="0"/>
        </w:numPr>
        <w:spacing w:before="0" w:beforeLines="0" w:after="0" w:afterLines="0" w:line="400" w:lineRule="exact"/>
        <w:rPr>
          <w:rFonts w:hint="eastAsia" w:ascii="Times New Roman"/>
        </w:rPr>
      </w:pPr>
      <w:r>
        <w:rPr>
          <w:rFonts w:hint="eastAsia" w:ascii="Times New Roman"/>
        </w:rPr>
        <w:t>6 检验要求</w:t>
      </w:r>
    </w:p>
    <w:p>
      <w:pPr>
        <w:pStyle w:val="13"/>
        <w:spacing w:line="400" w:lineRule="exact"/>
        <w:rPr>
          <w:rFonts w:hint="eastAsia" w:hAnsi="宋体" w:cs="宋体"/>
          <w:szCs w:val="21"/>
        </w:rPr>
      </w:pPr>
      <w:r>
        <w:rPr>
          <w:rFonts w:hint="eastAsia" w:hAnsi="宋体" w:cs="宋体"/>
          <w:szCs w:val="21"/>
        </w:rPr>
        <w:t>电动自行车用动力电池检验项目见表</w:t>
      </w:r>
      <w:r>
        <w:rPr>
          <w:rFonts w:hint="eastAsia" w:hAnsi="宋体" w:cs="宋体"/>
          <w:szCs w:val="21"/>
          <w:lang w:val="en-US" w:eastAsia="zh-CN"/>
        </w:rPr>
        <w:t>2</w:t>
      </w:r>
      <w:r>
        <w:rPr>
          <w:rFonts w:hint="eastAsia" w:hAnsi="宋体" w:cs="宋体"/>
        </w:rPr>
        <w:t>～表</w:t>
      </w:r>
      <w:r>
        <w:rPr>
          <w:rFonts w:hint="eastAsia" w:hAnsi="宋体" w:cs="宋体"/>
          <w:lang w:val="en-US" w:eastAsia="zh-CN"/>
        </w:rPr>
        <w:t>3</w:t>
      </w:r>
      <w:r>
        <w:rPr>
          <w:rFonts w:hint="eastAsia" w:hAnsi="宋体" w:cs="宋体"/>
          <w:szCs w:val="21"/>
        </w:rPr>
        <w:t>。</w:t>
      </w:r>
    </w:p>
    <w:p>
      <w:pPr>
        <w:pStyle w:val="17"/>
        <w:numPr>
          <w:ilvl w:val="0"/>
          <w:numId w:val="2"/>
        </w:numPr>
        <w:spacing w:before="0" w:beforeLines="0" w:after="0" w:afterLines="0" w:line="400" w:lineRule="exact"/>
        <w:rPr>
          <w:rFonts w:hint="eastAsia" w:ascii="宋体" w:hAnsi="宋体" w:eastAsia="宋体" w:cs="宋体"/>
          <w:b/>
          <w:bCs/>
          <w:szCs w:val="21"/>
        </w:rPr>
      </w:pPr>
      <w:r>
        <w:rPr>
          <w:rFonts w:hint="eastAsia" w:ascii="宋体" w:hAnsi="宋体" w:eastAsia="宋体" w:cs="宋体"/>
          <w:b/>
          <w:bCs/>
        </w:rPr>
        <w:t>铅酸蓄电池检验项目</w:t>
      </w:r>
      <w:r>
        <w:rPr>
          <w:rFonts w:hint="eastAsia" w:ascii="宋体" w:hAnsi="宋体" w:eastAsia="宋体" w:cs="宋体"/>
          <w:b/>
          <w:bCs/>
          <w:szCs w:val="21"/>
        </w:rPr>
        <w:t>、依据及方法等要求</w:t>
      </w:r>
    </w:p>
    <w:tbl>
      <w:tblPr>
        <w:tblStyle w:val="5"/>
        <w:tblW w:w="87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9"/>
        <w:gridCol w:w="1695"/>
        <w:gridCol w:w="3386"/>
        <w:gridCol w:w="3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89"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280" w:lineRule="exact"/>
              <w:jc w:val="center"/>
              <w:textAlignment w:val="auto"/>
              <w:rPr>
                <w:rFonts w:hint="eastAsia" w:ascii="宋体" w:hAnsi="宋体" w:cs="宋体"/>
                <w:szCs w:val="21"/>
              </w:rPr>
            </w:pPr>
            <w:r>
              <w:rPr>
                <w:rFonts w:hint="eastAsia" w:ascii="宋体" w:hAnsi="宋体" w:cs="宋体"/>
                <w:szCs w:val="21"/>
              </w:rPr>
              <w:t>序号</w:t>
            </w:r>
          </w:p>
        </w:tc>
        <w:tc>
          <w:tcPr>
            <w:tcW w:w="1695"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280" w:lineRule="exact"/>
              <w:jc w:val="center"/>
              <w:textAlignment w:val="auto"/>
              <w:rPr>
                <w:rFonts w:hint="eastAsia" w:ascii="宋体" w:hAnsi="宋体" w:cs="宋体"/>
                <w:szCs w:val="21"/>
              </w:rPr>
            </w:pPr>
            <w:r>
              <w:rPr>
                <w:rFonts w:hint="eastAsia" w:ascii="宋体" w:hAnsi="宋体" w:cs="宋体"/>
                <w:szCs w:val="21"/>
              </w:rPr>
              <w:t>检验项目</w:t>
            </w:r>
          </w:p>
        </w:tc>
        <w:tc>
          <w:tcPr>
            <w:tcW w:w="3386"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280" w:lineRule="exact"/>
              <w:jc w:val="center"/>
              <w:textAlignment w:val="auto"/>
              <w:rPr>
                <w:rFonts w:hint="default" w:ascii="宋体" w:hAnsi="宋体" w:eastAsia="宋体" w:cs="宋体"/>
                <w:szCs w:val="21"/>
                <w:lang w:val="en-US" w:eastAsia="zh-CN"/>
              </w:rPr>
            </w:pPr>
            <w:r>
              <w:rPr>
                <w:rFonts w:hint="eastAsia" w:ascii="宋体" w:hAnsi="宋体" w:cs="宋体"/>
                <w:szCs w:val="21"/>
                <w:lang w:val="en-US" w:eastAsia="zh-CN"/>
              </w:rPr>
              <w:t>检验依据</w:t>
            </w:r>
          </w:p>
        </w:tc>
        <w:tc>
          <w:tcPr>
            <w:tcW w:w="3036"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280" w:lineRule="exact"/>
              <w:jc w:val="center"/>
              <w:textAlignment w:val="auto"/>
              <w:rPr>
                <w:rFonts w:hint="eastAsia" w:ascii="宋体" w:hAnsi="宋体" w:cs="宋体"/>
                <w:szCs w:val="21"/>
              </w:rPr>
            </w:pPr>
            <w:r>
              <w:rPr>
                <w:rFonts w:hint="eastAsia" w:ascii="宋体" w:hAnsi="宋体" w:cs="宋体"/>
                <w:szCs w:val="21"/>
              </w:rPr>
              <w:t>检</w:t>
            </w:r>
            <w:r>
              <w:rPr>
                <w:rFonts w:hint="eastAsia" w:ascii="宋体" w:hAnsi="宋体" w:cs="宋体"/>
                <w:szCs w:val="21"/>
                <w:lang w:val="en-US" w:eastAsia="zh-CN"/>
              </w:rPr>
              <w:t>验</w:t>
            </w:r>
            <w:r>
              <w:rPr>
                <w:rFonts w:hint="eastAsia" w:ascii="宋体" w:hAnsi="宋体" w:cs="宋体"/>
                <w:szCs w:val="21"/>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589" w:type="dxa"/>
            <w:vMerge w:val="continue"/>
            <w:tcBorders>
              <w:left w:val="single" w:color="auto" w:sz="4" w:space="0"/>
              <w:right w:val="single" w:color="auto" w:sz="4" w:space="0"/>
            </w:tcBorders>
            <w:noWrap w:val="0"/>
            <w:vAlign w:val="center"/>
          </w:tcPr>
          <w:p>
            <w:pPr>
              <w:snapToGrid w:val="0"/>
              <w:spacing w:line="400" w:lineRule="exact"/>
              <w:jc w:val="center"/>
              <w:rPr>
                <w:rFonts w:hint="eastAsia" w:ascii="宋体" w:hAnsi="宋体" w:cs="宋体"/>
                <w:szCs w:val="21"/>
              </w:rPr>
            </w:pPr>
          </w:p>
        </w:tc>
        <w:tc>
          <w:tcPr>
            <w:tcW w:w="1695" w:type="dxa"/>
            <w:vMerge w:val="continue"/>
            <w:tcBorders>
              <w:left w:val="single" w:color="auto" w:sz="4" w:space="0"/>
              <w:right w:val="single" w:color="auto" w:sz="4" w:space="0"/>
            </w:tcBorders>
            <w:noWrap w:val="0"/>
            <w:vAlign w:val="center"/>
          </w:tcPr>
          <w:p>
            <w:pPr>
              <w:snapToGrid w:val="0"/>
              <w:spacing w:line="400" w:lineRule="exact"/>
              <w:jc w:val="center"/>
              <w:rPr>
                <w:rFonts w:hint="eastAsia" w:ascii="宋体" w:hAnsi="宋体" w:cs="宋体"/>
                <w:szCs w:val="21"/>
              </w:rPr>
            </w:pPr>
          </w:p>
        </w:tc>
        <w:tc>
          <w:tcPr>
            <w:tcW w:w="3386" w:type="dxa"/>
            <w:vMerge w:val="continue"/>
            <w:tcBorders>
              <w:left w:val="single" w:color="auto" w:sz="4" w:space="0"/>
              <w:right w:val="single" w:color="auto" w:sz="4" w:space="0"/>
            </w:tcBorders>
            <w:noWrap w:val="0"/>
            <w:vAlign w:val="center"/>
          </w:tcPr>
          <w:p>
            <w:pPr>
              <w:snapToGrid w:val="0"/>
              <w:spacing w:line="400" w:lineRule="exact"/>
              <w:jc w:val="center"/>
              <w:rPr>
                <w:rFonts w:hint="eastAsia" w:ascii="宋体" w:hAnsi="宋体" w:cs="宋体"/>
                <w:szCs w:val="21"/>
              </w:rPr>
            </w:pPr>
          </w:p>
        </w:tc>
        <w:tc>
          <w:tcPr>
            <w:tcW w:w="3036" w:type="dxa"/>
            <w:vMerge w:val="continue"/>
            <w:tcBorders>
              <w:left w:val="single" w:color="auto" w:sz="4" w:space="0"/>
              <w:right w:val="single" w:color="auto" w:sz="4" w:space="0"/>
            </w:tcBorders>
            <w:noWrap w:val="0"/>
            <w:vAlign w:val="center"/>
          </w:tcPr>
          <w:p>
            <w:pPr>
              <w:snapToGrid w:val="0"/>
              <w:spacing w:line="400" w:lineRule="exact"/>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706" w:type="dxa"/>
            <w:gridSpan w:val="4"/>
            <w:tcBorders>
              <w:left w:val="single" w:color="auto" w:sz="4" w:space="0"/>
              <w:bottom w:val="single" w:color="auto" w:sz="4" w:space="0"/>
              <w:right w:val="single" w:color="auto" w:sz="4" w:space="0"/>
            </w:tcBorders>
            <w:noWrap w:val="0"/>
            <w:vAlign w:val="center"/>
          </w:tcPr>
          <w:p>
            <w:pPr>
              <w:snapToGrid w:val="0"/>
              <w:spacing w:line="400" w:lineRule="exact"/>
              <w:rPr>
                <w:rFonts w:hint="eastAsia" w:ascii="宋体" w:hAnsi="宋体" w:cs="宋体"/>
                <w:szCs w:val="21"/>
              </w:rPr>
            </w:pPr>
            <w:r>
              <w:rPr>
                <w:rFonts w:hint="eastAsia" w:ascii="宋体" w:hAnsi="宋体" w:cs="宋体"/>
                <w:szCs w:val="21"/>
              </w:rPr>
              <w:t>标注标准为GB/T 22199.1-2017测试项目：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589"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宋体" w:hAnsi="宋体" w:cs="宋体"/>
                <w:szCs w:val="21"/>
              </w:rPr>
            </w:pPr>
            <w:r>
              <w:rPr>
                <w:rFonts w:hint="eastAsia" w:ascii="宋体" w:hAnsi="宋体" w:cs="宋体"/>
                <w:szCs w:val="21"/>
              </w:rPr>
              <w:t>1</w:t>
            </w:r>
          </w:p>
        </w:tc>
        <w:tc>
          <w:tcPr>
            <w:tcW w:w="1695"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rPr>
                <w:rFonts w:hint="eastAsia" w:ascii="宋体" w:hAnsi="宋体" w:cs="宋体"/>
                <w:szCs w:val="21"/>
              </w:rPr>
            </w:pPr>
            <w:r>
              <w:rPr>
                <w:rFonts w:hint="eastAsia" w:ascii="宋体" w:hAnsi="宋体" w:cs="宋体"/>
                <w:szCs w:val="21"/>
              </w:rPr>
              <w:t>极性</w:t>
            </w:r>
          </w:p>
        </w:tc>
        <w:tc>
          <w:tcPr>
            <w:tcW w:w="3386" w:type="dxa"/>
            <w:tcBorders>
              <w:left w:val="single" w:color="auto" w:sz="4" w:space="0"/>
              <w:right w:val="single" w:color="auto" w:sz="4" w:space="0"/>
            </w:tcBorders>
            <w:noWrap w:val="0"/>
            <w:vAlign w:val="center"/>
          </w:tcPr>
          <w:p>
            <w:pPr>
              <w:snapToGrid w:val="0"/>
              <w:spacing w:line="400" w:lineRule="exact"/>
              <w:rPr>
                <w:rFonts w:hint="eastAsia" w:ascii="宋体" w:hAnsi="宋体" w:cs="宋体"/>
                <w:szCs w:val="21"/>
              </w:rPr>
            </w:pPr>
            <w:r>
              <w:rPr>
                <w:rFonts w:hint="eastAsia" w:ascii="宋体" w:hAnsi="宋体" w:cs="宋体"/>
                <w:szCs w:val="21"/>
              </w:rPr>
              <w:t>GB/T 22199.1-2017</w:t>
            </w:r>
          </w:p>
        </w:tc>
        <w:tc>
          <w:tcPr>
            <w:tcW w:w="3036" w:type="dxa"/>
            <w:tcBorders>
              <w:left w:val="single" w:color="auto" w:sz="4" w:space="0"/>
              <w:right w:val="single" w:color="auto" w:sz="4" w:space="0"/>
            </w:tcBorders>
            <w:noWrap w:val="0"/>
            <w:vAlign w:val="center"/>
          </w:tcPr>
          <w:p>
            <w:pPr>
              <w:snapToGrid w:val="0"/>
              <w:spacing w:line="400" w:lineRule="exact"/>
              <w:rPr>
                <w:rFonts w:hint="eastAsia" w:ascii="宋体" w:hAnsi="宋体" w:cs="宋体"/>
                <w:szCs w:val="21"/>
              </w:rPr>
            </w:pPr>
            <w:r>
              <w:rPr>
                <w:rFonts w:hint="eastAsia" w:ascii="宋体" w:hAnsi="宋体" w:cs="宋体"/>
                <w:szCs w:val="21"/>
              </w:rPr>
              <w:t>目视检测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589"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宋体" w:hAnsi="宋体" w:cs="宋体"/>
                <w:kern w:val="2"/>
                <w:sz w:val="21"/>
                <w:szCs w:val="21"/>
                <w:lang w:val="en-US" w:eastAsia="zh-CN" w:bidi="ar-SA"/>
              </w:rPr>
            </w:pPr>
            <w:r>
              <w:rPr>
                <w:rFonts w:hint="eastAsia" w:ascii="宋体" w:hAnsi="宋体" w:cs="宋体"/>
                <w:szCs w:val="21"/>
              </w:rPr>
              <w:t>2</w:t>
            </w:r>
          </w:p>
        </w:tc>
        <w:tc>
          <w:tcPr>
            <w:tcW w:w="1695"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rPr>
                <w:rFonts w:hint="eastAsia" w:ascii="宋体" w:hAnsi="宋体" w:eastAsia="宋体" w:cs="宋体"/>
                <w:kern w:val="2"/>
                <w:sz w:val="21"/>
                <w:szCs w:val="21"/>
                <w:lang w:val="en-US" w:eastAsia="zh-CN" w:bidi="ar-SA"/>
              </w:rPr>
            </w:pPr>
            <w:r>
              <w:rPr>
                <w:rFonts w:hint="eastAsia" w:ascii="宋体" w:hAnsi="宋体" w:cs="宋体"/>
                <w:szCs w:val="21"/>
              </w:rPr>
              <w:t>2hr容量</w:t>
            </w:r>
          </w:p>
        </w:tc>
        <w:tc>
          <w:tcPr>
            <w:tcW w:w="3386" w:type="dxa"/>
            <w:tcBorders>
              <w:left w:val="single" w:color="auto" w:sz="4" w:space="0"/>
              <w:right w:val="single" w:color="auto" w:sz="4" w:space="0"/>
            </w:tcBorders>
            <w:noWrap w:val="0"/>
            <w:vAlign w:val="center"/>
          </w:tcPr>
          <w:p>
            <w:pPr>
              <w:snapToGrid w:val="0"/>
              <w:spacing w:line="400" w:lineRule="exact"/>
              <w:rPr>
                <w:rFonts w:hint="eastAsia" w:ascii="宋体" w:hAnsi="宋体" w:eastAsia="宋体" w:cs="宋体"/>
                <w:kern w:val="2"/>
                <w:sz w:val="21"/>
                <w:szCs w:val="21"/>
                <w:lang w:val="en-US" w:eastAsia="zh-CN" w:bidi="ar-SA"/>
              </w:rPr>
            </w:pPr>
            <w:r>
              <w:rPr>
                <w:rFonts w:hint="eastAsia" w:ascii="宋体" w:hAnsi="宋体" w:cs="宋体"/>
                <w:szCs w:val="21"/>
              </w:rPr>
              <w:t>GB/T 22199.1-2017</w:t>
            </w:r>
          </w:p>
        </w:tc>
        <w:tc>
          <w:tcPr>
            <w:tcW w:w="3036" w:type="dxa"/>
            <w:tcBorders>
              <w:left w:val="single" w:color="auto" w:sz="4" w:space="0"/>
              <w:right w:val="single" w:color="auto" w:sz="4" w:space="0"/>
            </w:tcBorders>
            <w:noWrap w:val="0"/>
            <w:vAlign w:val="center"/>
          </w:tcPr>
          <w:p>
            <w:pPr>
              <w:snapToGrid w:val="0"/>
              <w:spacing w:line="400" w:lineRule="exact"/>
              <w:rPr>
                <w:rFonts w:hint="eastAsia" w:ascii="宋体" w:hAnsi="宋体" w:eastAsia="宋体" w:cs="宋体"/>
                <w:kern w:val="2"/>
                <w:sz w:val="21"/>
                <w:szCs w:val="21"/>
                <w:lang w:val="en-US" w:eastAsia="zh-CN" w:bidi="ar-SA"/>
              </w:rPr>
            </w:pPr>
            <w:r>
              <w:rPr>
                <w:rFonts w:hint="eastAsia" w:ascii="宋体" w:hAnsi="宋体" w:cs="宋体"/>
                <w:szCs w:val="21"/>
              </w:rPr>
              <w:t>GB/T 22199.1-2017  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589"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宋体" w:hAnsi="宋体" w:cs="宋体"/>
                <w:kern w:val="2"/>
                <w:sz w:val="21"/>
                <w:szCs w:val="21"/>
                <w:lang w:val="en-US" w:eastAsia="zh-CN" w:bidi="ar-SA"/>
              </w:rPr>
            </w:pPr>
            <w:r>
              <w:rPr>
                <w:rFonts w:hint="eastAsia" w:ascii="宋体" w:hAnsi="宋体" w:cs="宋体"/>
                <w:szCs w:val="21"/>
              </w:rPr>
              <w:t>3</w:t>
            </w:r>
          </w:p>
        </w:tc>
        <w:tc>
          <w:tcPr>
            <w:tcW w:w="1695"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rPr>
                <w:rFonts w:hint="eastAsia" w:ascii="宋体" w:hAnsi="宋体" w:eastAsia="宋体" w:cs="宋体"/>
                <w:kern w:val="2"/>
                <w:sz w:val="21"/>
                <w:szCs w:val="21"/>
                <w:lang w:val="en-US" w:eastAsia="zh-CN" w:bidi="ar-SA"/>
              </w:rPr>
            </w:pPr>
            <w:r>
              <w:rPr>
                <w:rFonts w:hint="eastAsia" w:ascii="宋体" w:hAnsi="宋体" w:cs="宋体"/>
                <w:szCs w:val="21"/>
              </w:rPr>
              <w:t>能量密度</w:t>
            </w:r>
          </w:p>
        </w:tc>
        <w:tc>
          <w:tcPr>
            <w:tcW w:w="3386" w:type="dxa"/>
            <w:tcBorders>
              <w:left w:val="single" w:color="auto" w:sz="4" w:space="0"/>
              <w:right w:val="single" w:color="auto" w:sz="4" w:space="0"/>
            </w:tcBorders>
            <w:noWrap w:val="0"/>
            <w:vAlign w:val="center"/>
          </w:tcPr>
          <w:p>
            <w:pPr>
              <w:snapToGrid w:val="0"/>
              <w:spacing w:line="400" w:lineRule="exact"/>
              <w:rPr>
                <w:rFonts w:hint="eastAsia" w:ascii="宋体" w:hAnsi="宋体" w:eastAsia="宋体" w:cs="宋体"/>
                <w:kern w:val="2"/>
                <w:sz w:val="21"/>
                <w:szCs w:val="21"/>
                <w:lang w:val="en-US" w:eastAsia="zh-CN" w:bidi="ar-SA"/>
              </w:rPr>
            </w:pPr>
            <w:r>
              <w:rPr>
                <w:rFonts w:hint="eastAsia" w:ascii="宋体" w:hAnsi="宋体" w:cs="宋体"/>
                <w:szCs w:val="21"/>
              </w:rPr>
              <w:t>GB/T 22199.1-2017</w:t>
            </w:r>
          </w:p>
        </w:tc>
        <w:tc>
          <w:tcPr>
            <w:tcW w:w="3036" w:type="dxa"/>
            <w:tcBorders>
              <w:left w:val="single" w:color="auto" w:sz="4" w:space="0"/>
              <w:right w:val="single" w:color="auto" w:sz="4" w:space="0"/>
            </w:tcBorders>
            <w:noWrap w:val="0"/>
            <w:vAlign w:val="center"/>
          </w:tcPr>
          <w:p>
            <w:pPr>
              <w:snapToGrid w:val="0"/>
              <w:spacing w:line="400" w:lineRule="exact"/>
              <w:rPr>
                <w:rFonts w:hint="eastAsia" w:ascii="宋体" w:hAnsi="宋体" w:eastAsia="宋体" w:cs="宋体"/>
                <w:kern w:val="2"/>
                <w:sz w:val="21"/>
                <w:szCs w:val="21"/>
                <w:lang w:val="en-US" w:eastAsia="zh-CN" w:bidi="ar-SA"/>
              </w:rPr>
            </w:pPr>
            <w:r>
              <w:rPr>
                <w:rFonts w:hint="eastAsia" w:ascii="宋体" w:hAnsi="宋体" w:cs="宋体"/>
                <w:szCs w:val="21"/>
              </w:rPr>
              <w:t>GB/T 22199.1-2017  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589"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宋体" w:hAnsi="宋体" w:cs="宋体"/>
                <w:kern w:val="2"/>
                <w:sz w:val="21"/>
                <w:szCs w:val="21"/>
                <w:lang w:val="en-US" w:eastAsia="zh-CN" w:bidi="ar-SA"/>
              </w:rPr>
            </w:pPr>
            <w:r>
              <w:rPr>
                <w:rFonts w:hint="eastAsia" w:ascii="宋体" w:hAnsi="宋体" w:cs="宋体"/>
                <w:szCs w:val="21"/>
              </w:rPr>
              <w:t>4</w:t>
            </w:r>
          </w:p>
        </w:tc>
        <w:tc>
          <w:tcPr>
            <w:tcW w:w="1695"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rPr>
                <w:rFonts w:hint="default" w:ascii="宋体" w:hAnsi="宋体" w:cs="宋体"/>
                <w:kern w:val="2"/>
                <w:sz w:val="21"/>
                <w:szCs w:val="21"/>
                <w:lang w:val="en-US" w:eastAsia="zh-CN" w:bidi="ar-SA"/>
              </w:rPr>
            </w:pPr>
            <w:r>
              <w:rPr>
                <w:rFonts w:hint="eastAsia" w:ascii="宋体" w:hAnsi="宋体" w:cs="宋体"/>
                <w:kern w:val="2"/>
                <w:sz w:val="21"/>
                <w:szCs w:val="21"/>
                <w:lang w:val="en-US" w:eastAsia="zh-CN" w:bidi="ar-SA"/>
              </w:rPr>
              <w:t>耐振动能力</w:t>
            </w:r>
          </w:p>
        </w:tc>
        <w:tc>
          <w:tcPr>
            <w:tcW w:w="3386" w:type="dxa"/>
            <w:tcBorders>
              <w:left w:val="single" w:color="auto" w:sz="4" w:space="0"/>
              <w:right w:val="single" w:color="auto" w:sz="4" w:space="0"/>
            </w:tcBorders>
            <w:noWrap w:val="0"/>
            <w:vAlign w:val="center"/>
          </w:tcPr>
          <w:p>
            <w:pPr>
              <w:snapToGrid w:val="0"/>
              <w:spacing w:line="400" w:lineRule="exact"/>
              <w:rPr>
                <w:rFonts w:hint="eastAsia" w:ascii="宋体" w:hAnsi="宋体" w:eastAsia="宋体" w:cs="宋体"/>
                <w:kern w:val="2"/>
                <w:sz w:val="21"/>
                <w:szCs w:val="21"/>
                <w:lang w:val="en-US" w:eastAsia="zh-CN" w:bidi="ar-SA"/>
              </w:rPr>
            </w:pPr>
            <w:r>
              <w:rPr>
                <w:rFonts w:hint="eastAsia" w:ascii="宋体" w:hAnsi="宋体" w:cs="宋体"/>
                <w:szCs w:val="21"/>
              </w:rPr>
              <w:t>GB/T 22199.1-2017</w:t>
            </w:r>
          </w:p>
        </w:tc>
        <w:tc>
          <w:tcPr>
            <w:tcW w:w="3036" w:type="dxa"/>
            <w:tcBorders>
              <w:left w:val="single" w:color="auto" w:sz="4" w:space="0"/>
              <w:right w:val="single" w:color="auto" w:sz="4" w:space="0"/>
            </w:tcBorders>
            <w:noWrap w:val="0"/>
            <w:vAlign w:val="center"/>
          </w:tcPr>
          <w:p>
            <w:pPr>
              <w:snapToGrid w:val="0"/>
              <w:spacing w:line="400" w:lineRule="exact"/>
              <w:rPr>
                <w:rFonts w:hint="eastAsia" w:ascii="宋体" w:hAnsi="宋体" w:eastAsia="宋体" w:cs="宋体"/>
                <w:kern w:val="2"/>
                <w:sz w:val="21"/>
                <w:szCs w:val="21"/>
                <w:lang w:val="en-US" w:eastAsia="zh-CN" w:bidi="ar-SA"/>
              </w:rPr>
            </w:pPr>
            <w:r>
              <w:rPr>
                <w:rFonts w:hint="eastAsia" w:ascii="宋体" w:hAnsi="宋体" w:cs="宋体"/>
                <w:szCs w:val="21"/>
              </w:rPr>
              <w:t>GB/T 22199.1-2017  5.</w:t>
            </w:r>
            <w:r>
              <w:rPr>
                <w:rFonts w:hint="eastAsia" w:ascii="宋体" w:hAnsi="宋体" w:cs="宋体"/>
                <w:szCs w:val="21"/>
                <w:lang w:val="en-US" w:eastAsia="zh-CN"/>
              </w:rPr>
              <w:t>1</w:t>
            </w:r>
            <w:r>
              <w:rPr>
                <w:rFonts w:hint="eastAsia" w:ascii="宋体" w:hAnsi="宋体" w:cs="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89"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宋体" w:hAnsi="宋体" w:cs="宋体"/>
                <w:kern w:val="2"/>
                <w:sz w:val="21"/>
                <w:szCs w:val="21"/>
                <w:lang w:val="en-US" w:eastAsia="zh-CN" w:bidi="ar-SA"/>
              </w:rPr>
            </w:pPr>
            <w:r>
              <w:rPr>
                <w:rFonts w:hint="eastAsia" w:ascii="宋体" w:hAnsi="宋体" w:cs="宋体"/>
                <w:szCs w:val="21"/>
              </w:rPr>
              <w:t>5</w:t>
            </w:r>
          </w:p>
        </w:tc>
        <w:tc>
          <w:tcPr>
            <w:tcW w:w="1695"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rPr>
                <w:rFonts w:hint="default" w:ascii="宋体" w:hAnsi="宋体" w:cs="宋体"/>
                <w:kern w:val="2"/>
                <w:sz w:val="21"/>
                <w:szCs w:val="21"/>
                <w:lang w:val="en-US" w:eastAsia="zh-CN" w:bidi="ar-SA"/>
              </w:rPr>
            </w:pPr>
            <w:r>
              <w:rPr>
                <w:rFonts w:hint="eastAsia" w:ascii="宋体" w:hAnsi="宋体" w:cs="宋体"/>
                <w:kern w:val="2"/>
                <w:sz w:val="21"/>
                <w:szCs w:val="21"/>
                <w:lang w:val="en-US" w:eastAsia="zh-CN" w:bidi="ar-SA"/>
              </w:rPr>
              <w:t>防爆能力</w:t>
            </w:r>
          </w:p>
        </w:tc>
        <w:tc>
          <w:tcPr>
            <w:tcW w:w="3386" w:type="dxa"/>
            <w:tcBorders>
              <w:left w:val="single" w:color="auto" w:sz="4" w:space="0"/>
              <w:right w:val="single" w:color="auto" w:sz="4" w:space="0"/>
            </w:tcBorders>
            <w:noWrap w:val="0"/>
            <w:vAlign w:val="center"/>
          </w:tcPr>
          <w:p>
            <w:pPr>
              <w:snapToGrid w:val="0"/>
              <w:spacing w:line="400" w:lineRule="exact"/>
              <w:rPr>
                <w:rFonts w:hint="default" w:ascii="宋体" w:hAnsi="宋体" w:eastAsia="宋体" w:cs="宋体"/>
                <w:kern w:val="2"/>
                <w:sz w:val="21"/>
                <w:szCs w:val="21"/>
                <w:lang w:val="en-US" w:eastAsia="zh-CN" w:bidi="ar-SA"/>
              </w:rPr>
            </w:pPr>
            <w:r>
              <w:rPr>
                <w:rFonts w:hint="eastAsia" w:ascii="宋体" w:hAnsi="宋体" w:cs="宋体"/>
                <w:szCs w:val="21"/>
              </w:rPr>
              <w:t>GB/T 22199.1-2017</w:t>
            </w:r>
          </w:p>
        </w:tc>
        <w:tc>
          <w:tcPr>
            <w:tcW w:w="3036" w:type="dxa"/>
            <w:tcBorders>
              <w:left w:val="single" w:color="auto" w:sz="4" w:space="0"/>
              <w:right w:val="single" w:color="auto" w:sz="4" w:space="0"/>
            </w:tcBorders>
            <w:noWrap w:val="0"/>
            <w:vAlign w:val="center"/>
          </w:tcPr>
          <w:p>
            <w:pPr>
              <w:snapToGrid w:val="0"/>
              <w:spacing w:line="400" w:lineRule="exact"/>
              <w:rPr>
                <w:rFonts w:hint="default" w:ascii="宋体" w:hAnsi="宋体" w:eastAsia="宋体" w:cs="宋体"/>
                <w:kern w:val="2"/>
                <w:sz w:val="21"/>
                <w:szCs w:val="21"/>
                <w:lang w:val="en-US" w:eastAsia="zh-CN" w:bidi="ar-SA"/>
              </w:rPr>
            </w:pPr>
            <w:r>
              <w:rPr>
                <w:rFonts w:hint="eastAsia" w:ascii="宋体" w:hAnsi="宋体" w:cs="宋体"/>
                <w:szCs w:val="21"/>
              </w:rPr>
              <w:t>GB/T 22199.1-2017  5.</w:t>
            </w:r>
            <w:r>
              <w:rPr>
                <w:rFonts w:hint="eastAsia" w:ascii="宋体" w:hAnsi="宋体" w:cs="宋体"/>
                <w:szCs w:val="21"/>
                <w:lang w:val="en-US" w:eastAsia="zh-CN"/>
              </w:rPr>
              <w:t>16</w:t>
            </w:r>
          </w:p>
        </w:tc>
      </w:tr>
    </w:tbl>
    <w:p>
      <w:pPr>
        <w:pStyle w:val="17"/>
        <w:numPr>
          <w:ilvl w:val="0"/>
          <w:numId w:val="2"/>
        </w:numPr>
        <w:spacing w:before="0" w:beforeLines="0" w:after="0" w:afterLines="0" w:line="400" w:lineRule="exact"/>
        <w:rPr>
          <w:rFonts w:hint="eastAsia" w:ascii="宋体" w:hAnsi="宋体" w:eastAsia="宋体" w:cs="宋体"/>
          <w:b/>
          <w:bCs/>
        </w:rPr>
      </w:pPr>
      <w:r>
        <w:rPr>
          <w:rFonts w:hint="eastAsia" w:ascii="宋体" w:hAnsi="宋体" w:eastAsia="宋体" w:cs="宋体"/>
          <w:b/>
          <w:bCs/>
        </w:rPr>
        <w:t>锂离子蓄电池组检验项目</w:t>
      </w:r>
      <w:r>
        <w:rPr>
          <w:rFonts w:hint="eastAsia" w:ascii="宋体" w:hAnsi="宋体" w:eastAsia="宋体" w:cs="宋体"/>
          <w:b/>
          <w:bCs/>
          <w:szCs w:val="21"/>
        </w:rPr>
        <w:t>、依据及方法等要求</w:t>
      </w:r>
    </w:p>
    <w:tbl>
      <w:tblPr>
        <w:tblStyle w:val="5"/>
        <w:tblW w:w="8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
        <w:gridCol w:w="1723"/>
        <w:gridCol w:w="3483"/>
        <w:gridCol w:w="2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86"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280" w:lineRule="exact"/>
              <w:jc w:val="center"/>
              <w:textAlignment w:val="auto"/>
              <w:rPr>
                <w:rFonts w:hint="eastAsia" w:ascii="宋体" w:hAnsi="宋体" w:cs="宋体"/>
                <w:szCs w:val="21"/>
              </w:rPr>
            </w:pPr>
            <w:r>
              <w:rPr>
                <w:rFonts w:hint="eastAsia" w:ascii="宋体" w:hAnsi="宋体" w:cs="宋体"/>
                <w:szCs w:val="21"/>
              </w:rPr>
              <w:t>序号</w:t>
            </w:r>
          </w:p>
        </w:tc>
        <w:tc>
          <w:tcPr>
            <w:tcW w:w="1723"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280" w:lineRule="exact"/>
              <w:jc w:val="center"/>
              <w:textAlignment w:val="auto"/>
              <w:rPr>
                <w:rFonts w:hint="eastAsia" w:ascii="宋体" w:hAnsi="宋体" w:cs="宋体"/>
                <w:szCs w:val="21"/>
              </w:rPr>
            </w:pPr>
            <w:r>
              <w:rPr>
                <w:rFonts w:hint="eastAsia" w:ascii="宋体" w:hAnsi="宋体" w:cs="宋体"/>
                <w:szCs w:val="21"/>
              </w:rPr>
              <w:t>检验项目</w:t>
            </w:r>
          </w:p>
        </w:tc>
        <w:tc>
          <w:tcPr>
            <w:tcW w:w="3483"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280" w:lineRule="exact"/>
              <w:jc w:val="center"/>
              <w:textAlignment w:val="auto"/>
              <w:rPr>
                <w:rFonts w:hint="eastAsia" w:ascii="宋体" w:hAnsi="宋体" w:cs="宋体"/>
                <w:szCs w:val="21"/>
              </w:rPr>
            </w:pPr>
            <w:r>
              <w:rPr>
                <w:rFonts w:hint="eastAsia" w:ascii="宋体" w:hAnsi="宋体" w:cs="宋体"/>
                <w:szCs w:val="21"/>
                <w:lang w:val="en-US" w:eastAsia="zh-CN"/>
              </w:rPr>
              <w:t>检验依据</w:t>
            </w:r>
          </w:p>
        </w:tc>
        <w:tc>
          <w:tcPr>
            <w:tcW w:w="2963"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280" w:lineRule="exact"/>
              <w:jc w:val="center"/>
              <w:textAlignment w:val="auto"/>
              <w:rPr>
                <w:rFonts w:hint="eastAsia" w:ascii="宋体" w:hAnsi="宋体" w:cs="宋体"/>
                <w:szCs w:val="21"/>
              </w:rPr>
            </w:pPr>
            <w:r>
              <w:rPr>
                <w:rFonts w:hint="eastAsia" w:ascii="宋体" w:hAnsi="宋体" w:cs="宋体"/>
                <w:szCs w:val="21"/>
              </w:rPr>
              <w:t>检</w:t>
            </w:r>
            <w:r>
              <w:rPr>
                <w:rFonts w:hint="eastAsia" w:ascii="宋体" w:hAnsi="宋体" w:cs="宋体"/>
                <w:szCs w:val="21"/>
                <w:lang w:val="en-US" w:eastAsia="zh-CN"/>
              </w:rPr>
              <w:t>验</w:t>
            </w:r>
            <w:r>
              <w:rPr>
                <w:rFonts w:hint="eastAsia" w:ascii="宋体" w:hAnsi="宋体" w:cs="宋体"/>
                <w:szCs w:val="21"/>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586" w:type="dxa"/>
            <w:vMerge w:val="continue"/>
            <w:tcBorders>
              <w:left w:val="single" w:color="auto" w:sz="4" w:space="0"/>
              <w:right w:val="single" w:color="auto" w:sz="4" w:space="0"/>
            </w:tcBorders>
            <w:noWrap w:val="0"/>
            <w:vAlign w:val="center"/>
          </w:tcPr>
          <w:p>
            <w:pPr>
              <w:snapToGrid w:val="0"/>
              <w:spacing w:line="400" w:lineRule="exact"/>
              <w:jc w:val="center"/>
              <w:rPr>
                <w:rFonts w:hint="eastAsia" w:ascii="宋体" w:hAnsi="宋体" w:cs="宋体"/>
                <w:szCs w:val="21"/>
              </w:rPr>
            </w:pPr>
          </w:p>
        </w:tc>
        <w:tc>
          <w:tcPr>
            <w:tcW w:w="1723" w:type="dxa"/>
            <w:vMerge w:val="continue"/>
            <w:tcBorders>
              <w:left w:val="single" w:color="auto" w:sz="4" w:space="0"/>
              <w:right w:val="single" w:color="auto" w:sz="4" w:space="0"/>
            </w:tcBorders>
            <w:noWrap w:val="0"/>
            <w:vAlign w:val="center"/>
          </w:tcPr>
          <w:p>
            <w:pPr>
              <w:snapToGrid w:val="0"/>
              <w:spacing w:line="400" w:lineRule="exact"/>
              <w:jc w:val="center"/>
              <w:rPr>
                <w:rFonts w:hint="eastAsia" w:ascii="宋体" w:hAnsi="宋体" w:cs="宋体"/>
                <w:szCs w:val="21"/>
              </w:rPr>
            </w:pPr>
          </w:p>
        </w:tc>
        <w:tc>
          <w:tcPr>
            <w:tcW w:w="3483" w:type="dxa"/>
            <w:vMerge w:val="continue"/>
            <w:tcBorders>
              <w:left w:val="single" w:color="auto" w:sz="4" w:space="0"/>
              <w:right w:val="single" w:color="auto" w:sz="4" w:space="0"/>
            </w:tcBorders>
            <w:noWrap w:val="0"/>
            <w:vAlign w:val="center"/>
          </w:tcPr>
          <w:p>
            <w:pPr>
              <w:snapToGrid w:val="0"/>
              <w:spacing w:line="400" w:lineRule="exact"/>
              <w:jc w:val="center"/>
              <w:rPr>
                <w:rFonts w:hint="eastAsia" w:ascii="宋体" w:hAnsi="宋体" w:cs="宋体"/>
                <w:szCs w:val="21"/>
              </w:rPr>
            </w:pPr>
          </w:p>
        </w:tc>
        <w:tc>
          <w:tcPr>
            <w:tcW w:w="2963" w:type="dxa"/>
            <w:vMerge w:val="continue"/>
            <w:tcBorders>
              <w:left w:val="single" w:color="auto" w:sz="4" w:space="0"/>
              <w:right w:val="single" w:color="auto" w:sz="4" w:space="0"/>
            </w:tcBorders>
            <w:noWrap w:val="0"/>
            <w:vAlign w:val="center"/>
          </w:tcPr>
          <w:p>
            <w:pPr>
              <w:snapToGrid w:val="0"/>
              <w:spacing w:line="400" w:lineRule="exact"/>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8755" w:type="dxa"/>
            <w:gridSpan w:val="4"/>
            <w:tcBorders>
              <w:left w:val="single" w:color="auto" w:sz="4" w:space="0"/>
              <w:bottom w:val="single" w:color="auto" w:sz="4" w:space="0"/>
              <w:right w:val="single" w:color="auto" w:sz="4" w:space="0"/>
            </w:tcBorders>
            <w:noWrap w:val="0"/>
            <w:vAlign w:val="center"/>
          </w:tcPr>
          <w:p>
            <w:pPr>
              <w:snapToGrid w:val="0"/>
              <w:spacing w:line="400" w:lineRule="exact"/>
              <w:rPr>
                <w:rFonts w:hint="eastAsia" w:ascii="宋体" w:hAnsi="宋体" w:cs="宋体"/>
                <w:szCs w:val="21"/>
              </w:rPr>
            </w:pPr>
            <w:r>
              <w:rPr>
                <w:rFonts w:hint="eastAsia" w:ascii="宋体" w:hAnsi="宋体" w:cs="宋体"/>
                <w:szCs w:val="21"/>
              </w:rPr>
              <w:t>标注标准为GB/T 36972-2018测试项目：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586"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宋体" w:hAnsi="宋体" w:cs="宋体"/>
                <w:szCs w:val="21"/>
              </w:rPr>
            </w:pPr>
            <w:r>
              <w:rPr>
                <w:rFonts w:hint="eastAsia" w:ascii="宋体" w:hAnsi="宋体" w:cs="宋体"/>
                <w:szCs w:val="21"/>
              </w:rPr>
              <w:t>1</w:t>
            </w:r>
          </w:p>
        </w:tc>
        <w:tc>
          <w:tcPr>
            <w:tcW w:w="1723"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rPr>
                <w:rFonts w:hint="eastAsia" w:ascii="宋体" w:hAnsi="宋体" w:eastAsia="宋体" w:cs="宋体"/>
                <w:color w:val="333333"/>
                <w:kern w:val="2"/>
                <w:sz w:val="21"/>
                <w:szCs w:val="21"/>
                <w:lang w:val="en-US" w:eastAsia="zh-CN" w:bidi="ar-SA"/>
              </w:rPr>
            </w:pPr>
            <w:r>
              <w:rPr>
                <w:rFonts w:hint="eastAsia" w:ascii="宋体" w:hAnsi="宋体" w:cs="宋体"/>
                <w:szCs w:val="21"/>
              </w:rPr>
              <w:t>I</w:t>
            </w:r>
            <w:r>
              <w:rPr>
                <w:rFonts w:hint="eastAsia" w:ascii="宋体" w:hAnsi="宋体" w:cs="宋体"/>
                <w:szCs w:val="21"/>
                <w:vertAlign w:val="subscript"/>
              </w:rPr>
              <w:t>2</w:t>
            </w:r>
            <w:r>
              <w:rPr>
                <w:rFonts w:hint="eastAsia" w:ascii="宋体" w:hAnsi="宋体" w:cs="宋体"/>
                <w:szCs w:val="21"/>
              </w:rPr>
              <w:t>（A）放电</w:t>
            </w:r>
          </w:p>
        </w:tc>
        <w:tc>
          <w:tcPr>
            <w:tcW w:w="3483" w:type="dxa"/>
            <w:tcBorders>
              <w:top w:val="single" w:color="auto" w:sz="4" w:space="0"/>
              <w:left w:val="single" w:color="auto" w:sz="4" w:space="0"/>
              <w:right w:val="single" w:color="auto" w:sz="4" w:space="0"/>
            </w:tcBorders>
            <w:noWrap w:val="0"/>
            <w:vAlign w:val="center"/>
          </w:tcPr>
          <w:p>
            <w:pPr>
              <w:snapToGrid w:val="0"/>
              <w:spacing w:line="400" w:lineRule="exact"/>
              <w:jc w:val="left"/>
              <w:rPr>
                <w:rFonts w:hint="eastAsia" w:ascii="宋体" w:hAnsi="宋体" w:eastAsia="宋体" w:cs="宋体"/>
                <w:color w:val="333333"/>
                <w:kern w:val="2"/>
                <w:sz w:val="21"/>
                <w:szCs w:val="21"/>
                <w:lang w:val="en-US" w:eastAsia="zh-CN" w:bidi="ar-SA"/>
              </w:rPr>
            </w:pPr>
            <w:r>
              <w:rPr>
                <w:rFonts w:hint="eastAsia" w:ascii="宋体" w:hAnsi="宋体" w:cs="宋体"/>
                <w:kern w:val="0"/>
                <w:szCs w:val="21"/>
              </w:rPr>
              <w:t xml:space="preserve">GB/T 36972-2018 </w:t>
            </w:r>
          </w:p>
        </w:tc>
        <w:tc>
          <w:tcPr>
            <w:tcW w:w="2963" w:type="dxa"/>
            <w:tcBorders>
              <w:top w:val="single" w:color="auto" w:sz="4" w:space="0"/>
              <w:left w:val="single" w:color="auto" w:sz="4" w:space="0"/>
              <w:right w:val="single" w:color="auto" w:sz="4" w:space="0"/>
            </w:tcBorders>
            <w:noWrap w:val="0"/>
            <w:vAlign w:val="center"/>
          </w:tcPr>
          <w:p>
            <w:pPr>
              <w:snapToGrid w:val="0"/>
              <w:spacing w:line="400" w:lineRule="exact"/>
              <w:jc w:val="left"/>
              <w:rPr>
                <w:rFonts w:hint="eastAsia" w:ascii="宋体" w:hAnsi="宋体" w:eastAsia="宋体" w:cs="宋体"/>
                <w:color w:val="333333"/>
                <w:kern w:val="2"/>
                <w:sz w:val="21"/>
                <w:szCs w:val="21"/>
                <w:lang w:val="en-US" w:eastAsia="zh-CN" w:bidi="ar-SA"/>
              </w:rPr>
            </w:pPr>
            <w:r>
              <w:rPr>
                <w:rFonts w:hint="eastAsia" w:ascii="宋体" w:hAnsi="宋体" w:cs="宋体"/>
                <w:kern w:val="0"/>
                <w:szCs w:val="21"/>
              </w:rPr>
              <w:t>GB/T 36972-2018  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586"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宋体" w:hAnsi="宋体" w:cs="宋体"/>
                <w:kern w:val="2"/>
                <w:sz w:val="21"/>
                <w:szCs w:val="21"/>
                <w:lang w:val="en-US" w:eastAsia="zh-CN" w:bidi="ar-SA"/>
              </w:rPr>
            </w:pPr>
            <w:r>
              <w:rPr>
                <w:rFonts w:hint="eastAsia" w:ascii="宋体" w:hAnsi="宋体" w:cs="宋体"/>
                <w:szCs w:val="21"/>
              </w:rPr>
              <w:t>2</w:t>
            </w:r>
          </w:p>
        </w:tc>
        <w:tc>
          <w:tcPr>
            <w:tcW w:w="1723"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rPr>
                <w:rFonts w:hint="eastAsia" w:ascii="宋体" w:hAnsi="宋体" w:eastAsia="宋体" w:cs="宋体"/>
                <w:color w:val="333333"/>
                <w:kern w:val="2"/>
                <w:sz w:val="21"/>
                <w:szCs w:val="21"/>
                <w:lang w:val="en-US" w:eastAsia="zh-CN" w:bidi="ar-SA"/>
              </w:rPr>
            </w:pPr>
            <w:r>
              <w:rPr>
                <w:rFonts w:hint="eastAsia" w:ascii="宋体" w:hAnsi="宋体" w:cs="宋体"/>
                <w:szCs w:val="21"/>
              </w:rPr>
              <w:t>过充电保护</w:t>
            </w:r>
          </w:p>
        </w:tc>
        <w:tc>
          <w:tcPr>
            <w:tcW w:w="3483" w:type="dxa"/>
            <w:tcBorders>
              <w:top w:val="single" w:color="auto" w:sz="4" w:space="0"/>
              <w:left w:val="single" w:color="auto" w:sz="4" w:space="0"/>
              <w:right w:val="single" w:color="auto" w:sz="4" w:space="0"/>
            </w:tcBorders>
            <w:noWrap w:val="0"/>
            <w:vAlign w:val="center"/>
          </w:tcPr>
          <w:p>
            <w:pPr>
              <w:snapToGrid w:val="0"/>
              <w:spacing w:line="400" w:lineRule="exact"/>
              <w:jc w:val="left"/>
              <w:rPr>
                <w:rFonts w:hint="eastAsia" w:ascii="宋体" w:hAnsi="宋体" w:eastAsia="宋体" w:cs="宋体"/>
                <w:color w:val="333333"/>
                <w:kern w:val="2"/>
                <w:sz w:val="21"/>
                <w:szCs w:val="21"/>
                <w:lang w:val="en-US" w:eastAsia="zh-CN" w:bidi="ar-SA"/>
              </w:rPr>
            </w:pPr>
            <w:r>
              <w:rPr>
                <w:rFonts w:hint="eastAsia" w:ascii="宋体" w:hAnsi="宋体" w:cs="宋体"/>
                <w:kern w:val="0"/>
                <w:szCs w:val="21"/>
              </w:rPr>
              <w:t>GB/T 36972-2018</w:t>
            </w:r>
          </w:p>
        </w:tc>
        <w:tc>
          <w:tcPr>
            <w:tcW w:w="2963" w:type="dxa"/>
            <w:tcBorders>
              <w:top w:val="single" w:color="auto" w:sz="4" w:space="0"/>
              <w:left w:val="single" w:color="auto" w:sz="4" w:space="0"/>
              <w:right w:val="single" w:color="auto" w:sz="4" w:space="0"/>
            </w:tcBorders>
            <w:noWrap w:val="0"/>
            <w:vAlign w:val="center"/>
          </w:tcPr>
          <w:p>
            <w:pPr>
              <w:snapToGrid w:val="0"/>
              <w:spacing w:line="400" w:lineRule="exact"/>
              <w:jc w:val="left"/>
              <w:rPr>
                <w:rFonts w:hint="eastAsia" w:ascii="宋体" w:hAnsi="宋体" w:eastAsia="宋体" w:cs="宋体"/>
                <w:color w:val="333333"/>
                <w:kern w:val="2"/>
                <w:sz w:val="21"/>
                <w:szCs w:val="21"/>
                <w:lang w:val="en-US" w:eastAsia="zh-CN" w:bidi="ar-SA"/>
              </w:rPr>
            </w:pPr>
            <w:r>
              <w:rPr>
                <w:rFonts w:hint="eastAsia" w:ascii="宋体" w:hAnsi="宋体" w:cs="宋体"/>
                <w:kern w:val="0"/>
                <w:szCs w:val="21"/>
              </w:rPr>
              <w:t>GB/T 36972-2018  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586"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宋体" w:hAnsi="宋体" w:cs="宋体"/>
                <w:kern w:val="2"/>
                <w:sz w:val="21"/>
                <w:szCs w:val="21"/>
                <w:lang w:val="en-US" w:eastAsia="zh-CN" w:bidi="ar-SA"/>
              </w:rPr>
            </w:pPr>
            <w:r>
              <w:rPr>
                <w:rFonts w:hint="eastAsia" w:ascii="宋体" w:hAnsi="宋体" w:cs="宋体"/>
                <w:szCs w:val="21"/>
              </w:rPr>
              <w:t>3</w:t>
            </w:r>
          </w:p>
        </w:tc>
        <w:tc>
          <w:tcPr>
            <w:tcW w:w="1723"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rPr>
                <w:rFonts w:hint="eastAsia" w:ascii="宋体" w:hAnsi="宋体" w:eastAsia="宋体" w:cs="宋体"/>
                <w:color w:val="333333"/>
                <w:kern w:val="2"/>
                <w:sz w:val="21"/>
                <w:szCs w:val="21"/>
                <w:lang w:val="en-US" w:eastAsia="zh-CN" w:bidi="ar-SA"/>
              </w:rPr>
            </w:pPr>
            <w:r>
              <w:rPr>
                <w:rFonts w:hint="eastAsia" w:ascii="宋体" w:hAnsi="宋体" w:cs="宋体"/>
                <w:szCs w:val="21"/>
              </w:rPr>
              <w:t>过放电保护</w:t>
            </w:r>
          </w:p>
        </w:tc>
        <w:tc>
          <w:tcPr>
            <w:tcW w:w="3483" w:type="dxa"/>
            <w:tcBorders>
              <w:top w:val="single" w:color="auto" w:sz="4" w:space="0"/>
              <w:left w:val="single" w:color="auto" w:sz="4" w:space="0"/>
              <w:right w:val="single" w:color="auto" w:sz="4" w:space="0"/>
            </w:tcBorders>
            <w:noWrap w:val="0"/>
            <w:vAlign w:val="center"/>
          </w:tcPr>
          <w:p>
            <w:pPr>
              <w:snapToGrid w:val="0"/>
              <w:spacing w:line="400" w:lineRule="exact"/>
              <w:jc w:val="left"/>
              <w:rPr>
                <w:rFonts w:hint="eastAsia" w:ascii="宋体" w:hAnsi="宋体" w:eastAsia="宋体" w:cs="宋体"/>
                <w:color w:val="333333"/>
                <w:kern w:val="2"/>
                <w:sz w:val="21"/>
                <w:szCs w:val="21"/>
                <w:lang w:val="en-US" w:eastAsia="zh-CN" w:bidi="ar-SA"/>
              </w:rPr>
            </w:pPr>
            <w:r>
              <w:rPr>
                <w:rFonts w:hint="eastAsia" w:ascii="宋体" w:hAnsi="宋体" w:cs="宋体"/>
                <w:kern w:val="0"/>
                <w:szCs w:val="21"/>
              </w:rPr>
              <w:t xml:space="preserve">GB/T 36972-2018  </w:t>
            </w:r>
          </w:p>
        </w:tc>
        <w:tc>
          <w:tcPr>
            <w:tcW w:w="2963" w:type="dxa"/>
            <w:tcBorders>
              <w:top w:val="single" w:color="auto" w:sz="4" w:space="0"/>
              <w:left w:val="single" w:color="auto" w:sz="4" w:space="0"/>
              <w:right w:val="single" w:color="auto" w:sz="4" w:space="0"/>
            </w:tcBorders>
            <w:noWrap w:val="0"/>
            <w:vAlign w:val="center"/>
          </w:tcPr>
          <w:p>
            <w:pPr>
              <w:snapToGrid w:val="0"/>
              <w:spacing w:line="400" w:lineRule="exact"/>
              <w:jc w:val="left"/>
              <w:rPr>
                <w:rFonts w:hint="eastAsia" w:ascii="宋体" w:hAnsi="宋体" w:eastAsia="宋体" w:cs="宋体"/>
                <w:color w:val="333333"/>
                <w:kern w:val="2"/>
                <w:sz w:val="21"/>
                <w:szCs w:val="21"/>
                <w:lang w:val="en-US" w:eastAsia="zh-CN" w:bidi="ar-SA"/>
              </w:rPr>
            </w:pPr>
            <w:r>
              <w:rPr>
                <w:rFonts w:hint="eastAsia" w:ascii="宋体" w:hAnsi="宋体" w:cs="宋体"/>
                <w:kern w:val="0"/>
                <w:szCs w:val="21"/>
              </w:rPr>
              <w:t>GB/T 36972-2018  6.4.3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586"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宋体" w:hAnsi="宋体" w:cs="宋体"/>
                <w:kern w:val="2"/>
                <w:sz w:val="21"/>
                <w:szCs w:val="21"/>
                <w:lang w:val="en-US" w:eastAsia="zh-CN" w:bidi="ar-SA"/>
              </w:rPr>
            </w:pPr>
            <w:r>
              <w:rPr>
                <w:rFonts w:hint="eastAsia" w:ascii="宋体" w:hAnsi="宋体" w:eastAsia="宋体" w:cs="宋体"/>
                <w:szCs w:val="21"/>
              </w:rPr>
              <w:t>4</w:t>
            </w:r>
          </w:p>
        </w:tc>
        <w:tc>
          <w:tcPr>
            <w:tcW w:w="1723"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rPr>
                <w:rFonts w:hint="eastAsia" w:ascii="宋体" w:hAnsi="宋体" w:eastAsia="宋体" w:cs="宋体"/>
                <w:color w:val="333333"/>
                <w:kern w:val="2"/>
                <w:sz w:val="21"/>
                <w:szCs w:val="21"/>
                <w:lang w:val="en-US" w:eastAsia="zh-CN" w:bidi="ar-SA"/>
              </w:rPr>
            </w:pPr>
            <w:r>
              <w:rPr>
                <w:rFonts w:hint="eastAsia" w:ascii="宋体" w:hAnsi="宋体" w:cs="宋体"/>
                <w:szCs w:val="21"/>
              </w:rPr>
              <w:t>短路保护</w:t>
            </w:r>
          </w:p>
        </w:tc>
        <w:tc>
          <w:tcPr>
            <w:tcW w:w="3483" w:type="dxa"/>
            <w:tcBorders>
              <w:top w:val="single" w:color="auto" w:sz="4" w:space="0"/>
              <w:left w:val="single" w:color="auto" w:sz="4" w:space="0"/>
              <w:right w:val="single" w:color="auto" w:sz="4" w:space="0"/>
            </w:tcBorders>
            <w:noWrap w:val="0"/>
            <w:vAlign w:val="center"/>
          </w:tcPr>
          <w:p>
            <w:pPr>
              <w:snapToGrid w:val="0"/>
              <w:spacing w:line="400" w:lineRule="exact"/>
              <w:jc w:val="left"/>
              <w:rPr>
                <w:rFonts w:hint="eastAsia" w:ascii="宋体" w:hAnsi="宋体" w:eastAsia="宋体" w:cs="宋体"/>
                <w:color w:val="333333"/>
                <w:kern w:val="2"/>
                <w:sz w:val="21"/>
                <w:szCs w:val="21"/>
                <w:lang w:val="en-US" w:eastAsia="zh-CN" w:bidi="ar-SA"/>
              </w:rPr>
            </w:pPr>
            <w:r>
              <w:rPr>
                <w:rFonts w:hint="eastAsia" w:ascii="宋体" w:hAnsi="宋体" w:cs="宋体"/>
                <w:kern w:val="0"/>
                <w:szCs w:val="21"/>
              </w:rPr>
              <w:t xml:space="preserve">GB/T 36972-2018 </w:t>
            </w:r>
          </w:p>
        </w:tc>
        <w:tc>
          <w:tcPr>
            <w:tcW w:w="2963" w:type="dxa"/>
            <w:tcBorders>
              <w:top w:val="single" w:color="auto" w:sz="4" w:space="0"/>
              <w:left w:val="single" w:color="auto" w:sz="4" w:space="0"/>
              <w:right w:val="single" w:color="auto" w:sz="4" w:space="0"/>
            </w:tcBorders>
            <w:noWrap w:val="0"/>
            <w:vAlign w:val="center"/>
          </w:tcPr>
          <w:p>
            <w:pPr>
              <w:snapToGrid w:val="0"/>
              <w:spacing w:line="400" w:lineRule="exact"/>
              <w:jc w:val="left"/>
              <w:rPr>
                <w:rFonts w:hint="eastAsia" w:ascii="宋体" w:hAnsi="宋体" w:eastAsia="宋体" w:cs="宋体"/>
                <w:color w:val="333333"/>
                <w:kern w:val="2"/>
                <w:sz w:val="21"/>
                <w:szCs w:val="21"/>
                <w:lang w:val="en-US" w:eastAsia="zh-CN" w:bidi="ar-SA"/>
              </w:rPr>
            </w:pPr>
            <w:r>
              <w:rPr>
                <w:rFonts w:hint="eastAsia" w:ascii="宋体" w:hAnsi="宋体" w:cs="宋体"/>
                <w:kern w:val="0"/>
                <w:szCs w:val="21"/>
              </w:rPr>
              <w:t>GB/T 36972-2018  6.4.4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586"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宋体" w:hAnsi="宋体" w:cs="宋体"/>
                <w:kern w:val="2"/>
                <w:sz w:val="21"/>
                <w:szCs w:val="21"/>
                <w:lang w:val="en-US" w:eastAsia="zh-CN" w:bidi="ar-SA"/>
              </w:rPr>
            </w:pPr>
            <w:r>
              <w:rPr>
                <w:rFonts w:hint="eastAsia" w:ascii="宋体" w:hAnsi="宋体" w:cs="宋体"/>
                <w:szCs w:val="21"/>
              </w:rPr>
              <w:t>5</w:t>
            </w:r>
          </w:p>
        </w:tc>
        <w:tc>
          <w:tcPr>
            <w:tcW w:w="1723"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rPr>
                <w:rFonts w:hint="eastAsia" w:ascii="宋体" w:hAnsi="宋体" w:eastAsia="宋体" w:cs="宋体"/>
                <w:color w:val="333333"/>
                <w:kern w:val="2"/>
                <w:sz w:val="21"/>
                <w:szCs w:val="21"/>
                <w:lang w:val="en-US" w:eastAsia="zh-CN" w:bidi="ar-SA"/>
              </w:rPr>
            </w:pPr>
            <w:r>
              <w:rPr>
                <w:rFonts w:hint="eastAsia" w:ascii="宋体" w:hAnsi="宋体" w:cs="宋体"/>
                <w:szCs w:val="21"/>
              </w:rPr>
              <w:t>放电</w:t>
            </w:r>
            <w:r>
              <w:rPr>
                <w:rFonts w:hint="eastAsia" w:ascii="宋体" w:hAnsi="宋体" w:cs="宋体"/>
                <w:szCs w:val="21"/>
                <w:lang w:val="en-US" w:eastAsia="zh-CN"/>
              </w:rPr>
              <w:t>过流</w:t>
            </w:r>
            <w:r>
              <w:rPr>
                <w:rFonts w:hint="eastAsia" w:ascii="宋体" w:hAnsi="宋体" w:cs="宋体"/>
                <w:szCs w:val="21"/>
              </w:rPr>
              <w:t>保护</w:t>
            </w:r>
          </w:p>
        </w:tc>
        <w:tc>
          <w:tcPr>
            <w:tcW w:w="3483" w:type="dxa"/>
            <w:tcBorders>
              <w:top w:val="single" w:color="auto" w:sz="4" w:space="0"/>
              <w:left w:val="single" w:color="auto" w:sz="4" w:space="0"/>
              <w:right w:val="single" w:color="auto" w:sz="4" w:space="0"/>
            </w:tcBorders>
            <w:noWrap w:val="0"/>
            <w:vAlign w:val="center"/>
          </w:tcPr>
          <w:p>
            <w:pPr>
              <w:snapToGrid w:val="0"/>
              <w:spacing w:line="400" w:lineRule="exact"/>
              <w:jc w:val="left"/>
              <w:rPr>
                <w:rFonts w:hint="eastAsia" w:ascii="宋体" w:hAnsi="宋体" w:eastAsia="宋体" w:cs="宋体"/>
                <w:color w:val="333333"/>
                <w:kern w:val="2"/>
                <w:sz w:val="21"/>
                <w:szCs w:val="21"/>
                <w:lang w:val="en-US" w:eastAsia="zh-CN" w:bidi="ar-SA"/>
              </w:rPr>
            </w:pPr>
            <w:r>
              <w:rPr>
                <w:rFonts w:hint="eastAsia" w:ascii="宋体" w:hAnsi="宋体" w:cs="宋体"/>
                <w:kern w:val="0"/>
                <w:szCs w:val="21"/>
              </w:rPr>
              <w:t xml:space="preserve">GB/T 36972-2018 </w:t>
            </w:r>
          </w:p>
        </w:tc>
        <w:tc>
          <w:tcPr>
            <w:tcW w:w="2963" w:type="dxa"/>
            <w:tcBorders>
              <w:top w:val="single" w:color="auto" w:sz="4" w:space="0"/>
              <w:left w:val="single" w:color="auto" w:sz="4" w:space="0"/>
              <w:right w:val="single" w:color="auto" w:sz="4" w:space="0"/>
            </w:tcBorders>
            <w:noWrap w:val="0"/>
            <w:vAlign w:val="center"/>
          </w:tcPr>
          <w:p>
            <w:pPr>
              <w:snapToGrid w:val="0"/>
              <w:spacing w:line="400" w:lineRule="exact"/>
              <w:jc w:val="left"/>
              <w:rPr>
                <w:rFonts w:hint="eastAsia" w:ascii="宋体" w:hAnsi="宋体" w:eastAsia="宋体" w:cs="宋体"/>
                <w:color w:val="333333"/>
                <w:kern w:val="2"/>
                <w:sz w:val="21"/>
                <w:szCs w:val="21"/>
                <w:lang w:val="en-US" w:eastAsia="zh-CN" w:bidi="ar-SA"/>
              </w:rPr>
            </w:pPr>
            <w:r>
              <w:rPr>
                <w:rFonts w:hint="eastAsia" w:ascii="宋体" w:hAnsi="宋体" w:cs="宋体"/>
                <w:kern w:val="0"/>
                <w:szCs w:val="21"/>
              </w:rPr>
              <w:t>GB/T 36972-2018  6.4.</w:t>
            </w:r>
            <w:r>
              <w:rPr>
                <w:rFonts w:hint="eastAsia" w:ascii="宋体" w:hAnsi="宋体" w:cs="宋体"/>
                <w:kern w:val="0"/>
                <w:szCs w:val="21"/>
                <w:lang w:val="en-US" w:eastAsia="zh-CN"/>
              </w:rPr>
              <w:t>5</w:t>
            </w:r>
          </w:p>
        </w:tc>
      </w:tr>
    </w:tbl>
    <w:p>
      <w:pPr>
        <w:snapToGrid w:val="0"/>
        <w:spacing w:line="400" w:lineRule="exact"/>
        <w:rPr>
          <w:rFonts w:hint="eastAsia" w:ascii="宋体" w:hAnsi="宋体" w:cs="宋体"/>
          <w:szCs w:val="21"/>
        </w:rPr>
      </w:pPr>
      <w:r>
        <w:rPr>
          <w:rFonts w:hint="eastAsia" w:ascii="宋体" w:hAnsi="宋体" w:cs="宋体"/>
          <w:szCs w:val="21"/>
        </w:rPr>
        <w:br w:type="page"/>
      </w:r>
    </w:p>
    <w:tbl>
      <w:tblPr>
        <w:tblStyle w:val="5"/>
        <w:tblW w:w="8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
        <w:gridCol w:w="3"/>
        <w:gridCol w:w="1695"/>
        <w:gridCol w:w="25"/>
        <w:gridCol w:w="3361"/>
        <w:gridCol w:w="122"/>
        <w:gridCol w:w="2914"/>
        <w:gridCol w:w="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9" w:type="dxa"/>
          <w:trHeight w:val="400" w:hRule="atLeast"/>
          <w:jc w:val="center"/>
        </w:trPr>
        <w:tc>
          <w:tcPr>
            <w:tcW w:w="589" w:type="dxa"/>
            <w:gridSpan w:val="2"/>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280" w:lineRule="exact"/>
              <w:jc w:val="center"/>
              <w:textAlignment w:val="auto"/>
              <w:rPr>
                <w:rFonts w:hint="eastAsia" w:ascii="宋体" w:hAnsi="宋体" w:cs="宋体"/>
                <w:szCs w:val="21"/>
              </w:rPr>
            </w:pPr>
            <w:r>
              <w:rPr>
                <w:rFonts w:hint="eastAsia" w:ascii="宋体" w:hAnsi="宋体" w:cs="宋体"/>
                <w:szCs w:val="21"/>
              </w:rPr>
              <w:t>序号</w:t>
            </w:r>
          </w:p>
        </w:tc>
        <w:tc>
          <w:tcPr>
            <w:tcW w:w="1695" w:type="dxa"/>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280" w:lineRule="exact"/>
              <w:jc w:val="center"/>
              <w:textAlignment w:val="auto"/>
              <w:rPr>
                <w:rFonts w:hint="eastAsia" w:ascii="宋体" w:hAnsi="宋体" w:cs="宋体"/>
                <w:szCs w:val="21"/>
              </w:rPr>
            </w:pPr>
            <w:r>
              <w:rPr>
                <w:rFonts w:hint="eastAsia" w:ascii="宋体" w:hAnsi="宋体" w:cs="宋体"/>
                <w:szCs w:val="21"/>
              </w:rPr>
              <w:t>检验项目</w:t>
            </w:r>
          </w:p>
        </w:tc>
        <w:tc>
          <w:tcPr>
            <w:tcW w:w="3386" w:type="dxa"/>
            <w:gridSpan w:val="2"/>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280" w:lineRule="exact"/>
              <w:jc w:val="center"/>
              <w:textAlignment w:val="auto"/>
              <w:rPr>
                <w:rFonts w:hint="eastAsia" w:ascii="宋体" w:hAnsi="宋体" w:cs="宋体"/>
                <w:szCs w:val="21"/>
              </w:rPr>
            </w:pPr>
            <w:r>
              <w:rPr>
                <w:rFonts w:hint="eastAsia" w:ascii="宋体" w:hAnsi="宋体" w:cs="宋体"/>
                <w:szCs w:val="21"/>
              </w:rPr>
              <w:t>依据标准</w:t>
            </w:r>
          </w:p>
        </w:tc>
        <w:tc>
          <w:tcPr>
            <w:tcW w:w="3036" w:type="dxa"/>
            <w:gridSpan w:val="2"/>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280" w:lineRule="exact"/>
              <w:jc w:val="center"/>
              <w:textAlignment w:val="auto"/>
              <w:rPr>
                <w:rFonts w:hint="eastAsia" w:ascii="宋体" w:hAnsi="宋体" w:cs="宋体"/>
                <w:szCs w:val="21"/>
              </w:rPr>
            </w:pPr>
            <w:r>
              <w:rPr>
                <w:rFonts w:hint="eastAsia" w:ascii="宋体" w:hAnsi="宋体" w:cs="宋体"/>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8755" w:type="dxa"/>
            <w:gridSpan w:val="8"/>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rPr>
                <w:rFonts w:hint="eastAsia" w:ascii="宋体" w:hAnsi="宋体" w:cs="宋体"/>
                <w:szCs w:val="21"/>
              </w:rPr>
            </w:pPr>
            <w:r>
              <w:rPr>
                <w:rFonts w:hint="eastAsia" w:ascii="宋体" w:hAnsi="宋体" w:cs="宋体"/>
                <w:szCs w:val="21"/>
              </w:rPr>
              <w:t>标注标准为QB/T 2947.3-2008测试项目：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586"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宋体" w:hAnsi="宋体" w:cs="宋体"/>
                <w:szCs w:val="21"/>
              </w:rPr>
            </w:pPr>
            <w:r>
              <w:rPr>
                <w:rFonts w:hint="eastAsia" w:ascii="宋体" w:hAnsi="宋体" w:cs="宋体"/>
                <w:szCs w:val="21"/>
              </w:rPr>
              <w:t>1</w:t>
            </w:r>
          </w:p>
        </w:tc>
        <w:tc>
          <w:tcPr>
            <w:tcW w:w="1723"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rPr>
                <w:rFonts w:hint="eastAsia" w:ascii="宋体" w:hAnsi="宋体" w:eastAsia="宋体" w:cs="宋体"/>
                <w:kern w:val="2"/>
                <w:sz w:val="21"/>
                <w:szCs w:val="21"/>
                <w:lang w:val="en-US" w:eastAsia="zh-CN" w:bidi="ar-SA"/>
              </w:rPr>
            </w:pPr>
            <w:r>
              <w:rPr>
                <w:rFonts w:hint="eastAsia" w:ascii="宋体" w:hAnsi="宋体" w:cs="宋体"/>
                <w:szCs w:val="21"/>
              </w:rPr>
              <w:t>常温容量</w:t>
            </w:r>
          </w:p>
        </w:tc>
        <w:tc>
          <w:tcPr>
            <w:tcW w:w="348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260" w:lineRule="exact"/>
              <w:textAlignment w:val="auto"/>
              <w:rPr>
                <w:rFonts w:hint="eastAsia" w:ascii="宋体" w:hAnsi="宋体" w:eastAsia="宋体" w:cs="宋体"/>
                <w:kern w:val="2"/>
                <w:sz w:val="21"/>
                <w:szCs w:val="21"/>
                <w:lang w:val="en-US" w:eastAsia="zh-CN" w:bidi="ar-SA"/>
              </w:rPr>
            </w:pPr>
            <w:r>
              <w:rPr>
                <w:rFonts w:hint="eastAsia" w:ascii="宋体" w:hAnsi="宋体" w:cs="宋体"/>
                <w:szCs w:val="21"/>
              </w:rPr>
              <w:t>QB/T 2947.1-2008</w:t>
            </w:r>
          </w:p>
        </w:tc>
        <w:tc>
          <w:tcPr>
            <w:tcW w:w="29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260" w:lineRule="exact"/>
              <w:textAlignment w:val="auto"/>
              <w:rPr>
                <w:rFonts w:hint="eastAsia" w:ascii="宋体" w:hAnsi="宋体" w:cs="宋体"/>
                <w:szCs w:val="21"/>
              </w:rPr>
            </w:pPr>
            <w:r>
              <w:rPr>
                <w:rFonts w:hint="eastAsia" w:ascii="宋体" w:hAnsi="宋体" w:cs="宋体"/>
                <w:szCs w:val="21"/>
              </w:rPr>
              <w:t xml:space="preserve">QB/T 2947.1-2008  </w:t>
            </w:r>
          </w:p>
          <w:p>
            <w:pPr>
              <w:keepNext w:val="0"/>
              <w:keepLines w:val="0"/>
              <w:pageBreakBefore w:val="0"/>
              <w:widowControl w:val="0"/>
              <w:kinsoku/>
              <w:wordWrap/>
              <w:overflowPunct/>
              <w:topLinePunct w:val="0"/>
              <w:autoSpaceDE/>
              <w:autoSpaceDN/>
              <w:bidi w:val="0"/>
              <w:adjustRightInd/>
              <w:snapToGrid w:val="0"/>
              <w:spacing w:line="260" w:lineRule="exact"/>
              <w:textAlignment w:val="auto"/>
              <w:rPr>
                <w:rFonts w:hint="eastAsia" w:ascii="宋体" w:hAnsi="宋体" w:eastAsia="宋体" w:cs="宋体"/>
                <w:kern w:val="2"/>
                <w:sz w:val="21"/>
                <w:szCs w:val="21"/>
                <w:lang w:val="en-US" w:eastAsia="zh-CN" w:bidi="ar-SA"/>
              </w:rPr>
            </w:pPr>
            <w:r>
              <w:rPr>
                <w:rFonts w:hint="eastAsia" w:ascii="宋体" w:hAnsi="宋体" w:cs="宋体"/>
                <w:szCs w:val="21"/>
              </w:rPr>
              <w:t>6.1.2.3.1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6"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宋体" w:hAnsi="宋体" w:cs="宋体"/>
                <w:szCs w:val="21"/>
              </w:rPr>
            </w:pPr>
            <w:r>
              <w:rPr>
                <w:rFonts w:hint="eastAsia" w:ascii="宋体" w:hAnsi="宋体" w:cs="宋体"/>
                <w:szCs w:val="21"/>
              </w:rPr>
              <w:t>2</w:t>
            </w:r>
          </w:p>
        </w:tc>
        <w:tc>
          <w:tcPr>
            <w:tcW w:w="1723"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rPr>
                <w:rFonts w:hint="eastAsia" w:ascii="宋体" w:hAnsi="宋体" w:eastAsia="宋体" w:cs="宋体"/>
                <w:kern w:val="2"/>
                <w:sz w:val="21"/>
                <w:szCs w:val="21"/>
                <w:lang w:val="en-US" w:eastAsia="zh-CN" w:bidi="ar-SA"/>
              </w:rPr>
            </w:pPr>
            <w:r>
              <w:rPr>
                <w:rFonts w:hint="eastAsia" w:ascii="宋体" w:hAnsi="宋体" w:cs="宋体"/>
                <w:szCs w:val="21"/>
              </w:rPr>
              <w:t>耐振动</w:t>
            </w:r>
          </w:p>
        </w:tc>
        <w:tc>
          <w:tcPr>
            <w:tcW w:w="3483" w:type="dxa"/>
            <w:gridSpan w:val="2"/>
            <w:tcBorders>
              <w:left w:val="single" w:color="auto" w:sz="4" w:space="0"/>
              <w:right w:val="single" w:color="auto" w:sz="4" w:space="0"/>
            </w:tcBorders>
            <w:noWrap w:val="0"/>
            <w:vAlign w:val="center"/>
          </w:tcPr>
          <w:p>
            <w:pPr>
              <w:snapToGrid w:val="0"/>
              <w:spacing w:line="400" w:lineRule="exact"/>
              <w:rPr>
                <w:rFonts w:hint="eastAsia" w:ascii="宋体" w:hAnsi="宋体" w:eastAsia="宋体" w:cs="宋体"/>
                <w:kern w:val="2"/>
                <w:sz w:val="21"/>
                <w:szCs w:val="21"/>
                <w:lang w:val="en-US" w:eastAsia="zh-CN" w:bidi="ar-SA"/>
              </w:rPr>
            </w:pPr>
            <w:r>
              <w:rPr>
                <w:rFonts w:hint="eastAsia" w:ascii="宋体" w:hAnsi="宋体" w:cs="宋体"/>
                <w:szCs w:val="21"/>
              </w:rPr>
              <w:t xml:space="preserve">QB/T 2947.1-2008  </w:t>
            </w:r>
          </w:p>
        </w:tc>
        <w:tc>
          <w:tcPr>
            <w:tcW w:w="2963" w:type="dxa"/>
            <w:gridSpan w:val="2"/>
            <w:tcBorders>
              <w:left w:val="single" w:color="auto" w:sz="4" w:space="0"/>
              <w:right w:val="single" w:color="auto" w:sz="4" w:space="0"/>
            </w:tcBorders>
            <w:noWrap w:val="0"/>
            <w:vAlign w:val="center"/>
          </w:tcPr>
          <w:p>
            <w:pPr>
              <w:snapToGrid w:val="0"/>
              <w:spacing w:line="400" w:lineRule="exact"/>
              <w:rPr>
                <w:rFonts w:hint="eastAsia" w:ascii="宋体" w:hAnsi="宋体" w:eastAsia="宋体" w:cs="宋体"/>
                <w:kern w:val="2"/>
                <w:sz w:val="21"/>
                <w:szCs w:val="21"/>
                <w:lang w:val="en-US" w:eastAsia="zh-CN" w:bidi="ar-SA"/>
              </w:rPr>
            </w:pPr>
            <w:r>
              <w:rPr>
                <w:rFonts w:hint="eastAsia" w:ascii="宋体" w:hAnsi="宋体" w:cs="宋体"/>
                <w:szCs w:val="21"/>
              </w:rPr>
              <w:t>QB/T 2947.1-2008  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586"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宋体" w:hAnsi="宋体" w:cs="宋体"/>
                <w:szCs w:val="21"/>
              </w:rPr>
            </w:pPr>
            <w:r>
              <w:rPr>
                <w:rFonts w:hint="eastAsia" w:ascii="宋体" w:hAnsi="宋体" w:cs="宋体"/>
                <w:szCs w:val="21"/>
              </w:rPr>
              <w:t>3</w:t>
            </w:r>
          </w:p>
        </w:tc>
        <w:tc>
          <w:tcPr>
            <w:tcW w:w="1723"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rPr>
                <w:rFonts w:hint="eastAsia" w:ascii="宋体" w:hAnsi="宋体" w:eastAsia="宋体" w:cs="宋体"/>
                <w:kern w:val="2"/>
                <w:sz w:val="21"/>
                <w:szCs w:val="21"/>
                <w:lang w:val="en-US" w:eastAsia="zh-CN" w:bidi="ar-SA"/>
              </w:rPr>
            </w:pPr>
            <w:r>
              <w:rPr>
                <w:rFonts w:hint="eastAsia" w:ascii="宋体" w:hAnsi="宋体" w:cs="宋体"/>
                <w:szCs w:val="21"/>
              </w:rPr>
              <w:t>短路</w:t>
            </w:r>
          </w:p>
        </w:tc>
        <w:tc>
          <w:tcPr>
            <w:tcW w:w="3483" w:type="dxa"/>
            <w:gridSpan w:val="2"/>
            <w:tcBorders>
              <w:left w:val="single" w:color="auto" w:sz="4" w:space="0"/>
              <w:right w:val="single" w:color="auto" w:sz="4" w:space="0"/>
            </w:tcBorders>
            <w:noWrap w:val="0"/>
            <w:vAlign w:val="center"/>
          </w:tcPr>
          <w:p>
            <w:pPr>
              <w:snapToGrid w:val="0"/>
              <w:spacing w:line="400" w:lineRule="exact"/>
              <w:rPr>
                <w:rFonts w:hint="eastAsia" w:ascii="宋体" w:hAnsi="宋体" w:eastAsia="宋体" w:cs="宋体"/>
                <w:b/>
                <w:kern w:val="2"/>
                <w:sz w:val="21"/>
                <w:szCs w:val="21"/>
                <w:lang w:val="en-US" w:eastAsia="zh-CN" w:bidi="ar-SA"/>
              </w:rPr>
            </w:pPr>
            <w:r>
              <w:rPr>
                <w:rFonts w:hint="eastAsia" w:ascii="宋体" w:hAnsi="宋体" w:cs="宋体"/>
                <w:szCs w:val="21"/>
              </w:rPr>
              <w:t xml:space="preserve">QB/T 2947.1-2008 </w:t>
            </w:r>
          </w:p>
        </w:tc>
        <w:tc>
          <w:tcPr>
            <w:tcW w:w="2963" w:type="dxa"/>
            <w:gridSpan w:val="2"/>
            <w:tcBorders>
              <w:left w:val="single" w:color="auto" w:sz="4" w:space="0"/>
              <w:right w:val="single" w:color="auto" w:sz="4" w:space="0"/>
            </w:tcBorders>
            <w:noWrap w:val="0"/>
            <w:vAlign w:val="center"/>
          </w:tcPr>
          <w:p>
            <w:pPr>
              <w:snapToGrid w:val="0"/>
              <w:spacing w:line="400" w:lineRule="exact"/>
              <w:rPr>
                <w:rFonts w:hint="eastAsia" w:ascii="宋体" w:hAnsi="宋体" w:eastAsia="宋体" w:cs="宋体"/>
                <w:kern w:val="2"/>
                <w:sz w:val="21"/>
                <w:szCs w:val="21"/>
                <w:lang w:val="en-US" w:eastAsia="zh-CN" w:bidi="ar-SA"/>
              </w:rPr>
            </w:pPr>
            <w:r>
              <w:rPr>
                <w:rFonts w:hint="eastAsia" w:ascii="宋体" w:hAnsi="宋体" w:cs="宋体"/>
                <w:szCs w:val="21"/>
              </w:rPr>
              <w:t>QB/T 2947.1-2008  6.1.6.1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586"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宋体" w:hAnsi="宋体" w:cs="宋体"/>
                <w:szCs w:val="21"/>
              </w:rPr>
            </w:pPr>
            <w:r>
              <w:rPr>
                <w:rFonts w:hint="eastAsia" w:ascii="宋体" w:hAnsi="宋体" w:cs="宋体"/>
                <w:szCs w:val="21"/>
              </w:rPr>
              <w:t>4</w:t>
            </w:r>
          </w:p>
        </w:tc>
        <w:tc>
          <w:tcPr>
            <w:tcW w:w="1723"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rPr>
                <w:rFonts w:hint="eastAsia" w:ascii="宋体" w:hAnsi="宋体" w:eastAsia="宋体" w:cs="宋体"/>
                <w:kern w:val="2"/>
                <w:sz w:val="21"/>
                <w:szCs w:val="21"/>
                <w:lang w:val="en-US" w:eastAsia="zh-CN" w:bidi="ar-SA"/>
              </w:rPr>
            </w:pPr>
            <w:r>
              <w:rPr>
                <w:rFonts w:hint="eastAsia" w:ascii="宋体" w:hAnsi="宋体" w:cs="宋体"/>
                <w:szCs w:val="21"/>
              </w:rPr>
              <w:t>过充电</w:t>
            </w:r>
          </w:p>
        </w:tc>
        <w:tc>
          <w:tcPr>
            <w:tcW w:w="3483" w:type="dxa"/>
            <w:gridSpan w:val="2"/>
            <w:tcBorders>
              <w:left w:val="single" w:color="auto" w:sz="4" w:space="0"/>
              <w:right w:val="single" w:color="auto" w:sz="4" w:space="0"/>
            </w:tcBorders>
            <w:noWrap w:val="0"/>
            <w:vAlign w:val="center"/>
          </w:tcPr>
          <w:p>
            <w:pPr>
              <w:snapToGrid w:val="0"/>
              <w:spacing w:line="400" w:lineRule="exact"/>
              <w:rPr>
                <w:rFonts w:hint="eastAsia" w:ascii="宋体" w:hAnsi="宋体" w:eastAsia="宋体" w:cs="宋体"/>
                <w:kern w:val="2"/>
                <w:sz w:val="21"/>
                <w:szCs w:val="21"/>
                <w:lang w:val="en-US" w:eastAsia="zh-CN" w:bidi="ar-SA"/>
              </w:rPr>
            </w:pPr>
            <w:r>
              <w:rPr>
                <w:rFonts w:hint="eastAsia" w:ascii="宋体" w:hAnsi="宋体" w:cs="宋体"/>
                <w:szCs w:val="21"/>
              </w:rPr>
              <w:t xml:space="preserve">QB/T 2947.1-2008 </w:t>
            </w:r>
          </w:p>
        </w:tc>
        <w:tc>
          <w:tcPr>
            <w:tcW w:w="2963" w:type="dxa"/>
            <w:gridSpan w:val="2"/>
            <w:tcBorders>
              <w:left w:val="single" w:color="auto" w:sz="4" w:space="0"/>
              <w:right w:val="single" w:color="auto" w:sz="4" w:space="0"/>
            </w:tcBorders>
            <w:noWrap w:val="0"/>
            <w:vAlign w:val="center"/>
          </w:tcPr>
          <w:p>
            <w:pPr>
              <w:snapToGrid w:val="0"/>
              <w:spacing w:line="400" w:lineRule="exact"/>
              <w:rPr>
                <w:rFonts w:hint="eastAsia" w:ascii="宋体" w:hAnsi="宋体" w:eastAsia="宋体" w:cs="宋体"/>
                <w:kern w:val="2"/>
                <w:sz w:val="21"/>
                <w:szCs w:val="21"/>
                <w:lang w:val="en-US" w:eastAsia="zh-CN" w:bidi="ar-SA"/>
              </w:rPr>
            </w:pPr>
            <w:r>
              <w:rPr>
                <w:rFonts w:hint="eastAsia" w:ascii="宋体" w:hAnsi="宋体" w:cs="宋体"/>
                <w:szCs w:val="21"/>
              </w:rPr>
              <w:t>QB/T 2947.1-2008  6.1.6.1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586"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宋体" w:hAnsi="宋体" w:cs="宋体"/>
                <w:szCs w:val="21"/>
              </w:rPr>
            </w:pPr>
            <w:r>
              <w:rPr>
                <w:rFonts w:hint="eastAsia" w:ascii="宋体" w:hAnsi="宋体" w:cs="宋体"/>
                <w:szCs w:val="21"/>
              </w:rPr>
              <w:t>5</w:t>
            </w:r>
          </w:p>
        </w:tc>
        <w:tc>
          <w:tcPr>
            <w:tcW w:w="1723"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rPr>
                <w:rFonts w:hint="eastAsia" w:ascii="宋体" w:hAnsi="宋体" w:eastAsia="宋体" w:cs="宋体"/>
                <w:kern w:val="2"/>
                <w:sz w:val="21"/>
                <w:szCs w:val="21"/>
                <w:lang w:val="en-US" w:eastAsia="zh-CN" w:bidi="ar-SA"/>
              </w:rPr>
            </w:pPr>
            <w:r>
              <w:rPr>
                <w:rFonts w:hint="eastAsia" w:ascii="宋体" w:hAnsi="宋体" w:cs="宋体"/>
                <w:szCs w:val="21"/>
              </w:rPr>
              <w:t>过放电</w:t>
            </w:r>
          </w:p>
        </w:tc>
        <w:tc>
          <w:tcPr>
            <w:tcW w:w="3483" w:type="dxa"/>
            <w:gridSpan w:val="2"/>
            <w:tcBorders>
              <w:left w:val="single" w:color="auto" w:sz="4" w:space="0"/>
              <w:right w:val="single" w:color="auto" w:sz="4" w:space="0"/>
            </w:tcBorders>
            <w:noWrap w:val="0"/>
            <w:vAlign w:val="center"/>
          </w:tcPr>
          <w:p>
            <w:pPr>
              <w:snapToGrid w:val="0"/>
              <w:spacing w:line="400" w:lineRule="exact"/>
              <w:rPr>
                <w:rFonts w:hint="eastAsia" w:ascii="宋体" w:hAnsi="宋体" w:eastAsia="宋体" w:cs="宋体"/>
                <w:kern w:val="2"/>
                <w:sz w:val="21"/>
                <w:szCs w:val="21"/>
                <w:lang w:val="en-US" w:eastAsia="zh-CN" w:bidi="ar-SA"/>
              </w:rPr>
            </w:pPr>
            <w:r>
              <w:rPr>
                <w:rFonts w:hint="eastAsia" w:ascii="宋体" w:hAnsi="宋体" w:cs="宋体"/>
                <w:szCs w:val="21"/>
              </w:rPr>
              <w:t xml:space="preserve">QB/T 2947.1-2008  </w:t>
            </w:r>
          </w:p>
        </w:tc>
        <w:tc>
          <w:tcPr>
            <w:tcW w:w="2963" w:type="dxa"/>
            <w:gridSpan w:val="2"/>
            <w:tcBorders>
              <w:left w:val="single" w:color="auto" w:sz="4" w:space="0"/>
              <w:right w:val="single" w:color="auto" w:sz="4" w:space="0"/>
            </w:tcBorders>
            <w:noWrap w:val="0"/>
            <w:vAlign w:val="center"/>
          </w:tcPr>
          <w:p>
            <w:pPr>
              <w:snapToGrid w:val="0"/>
              <w:spacing w:line="400" w:lineRule="exact"/>
              <w:rPr>
                <w:rFonts w:hint="eastAsia" w:ascii="宋体" w:hAnsi="宋体" w:eastAsia="宋体" w:cs="宋体"/>
                <w:kern w:val="2"/>
                <w:sz w:val="21"/>
                <w:szCs w:val="21"/>
                <w:lang w:val="en-US" w:eastAsia="zh-CN" w:bidi="ar-SA"/>
              </w:rPr>
            </w:pPr>
            <w:r>
              <w:rPr>
                <w:rFonts w:hint="eastAsia" w:ascii="宋体" w:hAnsi="宋体" w:cs="宋体"/>
                <w:szCs w:val="21"/>
              </w:rPr>
              <w:t>QB/T 2947.1-2008  6.1.6.1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8755" w:type="dxa"/>
            <w:gridSpan w:val="8"/>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rPr>
                <w:rFonts w:hint="eastAsia" w:ascii="宋体" w:hAnsi="宋体" w:cs="宋体"/>
                <w:szCs w:val="21"/>
              </w:rPr>
            </w:pPr>
            <w:r>
              <w:rPr>
                <w:rFonts w:hint="eastAsia" w:ascii="宋体" w:hAnsi="宋体" w:cs="宋体"/>
                <w:szCs w:val="21"/>
              </w:rPr>
              <w:t>执行企业标准、团体标准、地方标准的产品，检验项目参照表</w:t>
            </w:r>
            <w:r>
              <w:rPr>
                <w:rFonts w:hint="eastAsia" w:ascii="宋体" w:hAnsi="宋体" w:cs="宋体"/>
                <w:szCs w:val="21"/>
                <w:lang w:val="en-US" w:eastAsia="zh-CN"/>
              </w:rPr>
              <w:t>2</w:t>
            </w:r>
            <w:r>
              <w:rPr>
                <w:rFonts w:hint="eastAsia" w:ascii="宋体" w:hAnsi="宋体" w:cs="宋体"/>
                <w:szCs w:val="21"/>
              </w:rPr>
              <w:t>、表</w:t>
            </w:r>
            <w:r>
              <w:rPr>
                <w:rFonts w:hint="eastAsia" w:ascii="宋体" w:hAnsi="宋体" w:cs="宋体"/>
                <w:szCs w:val="21"/>
                <w:lang w:val="en-US" w:eastAsia="zh-CN"/>
              </w:rPr>
              <w:t>3</w:t>
            </w:r>
            <w:r>
              <w:rPr>
                <w:rFonts w:hint="eastAsia" w:ascii="宋体" w:hAnsi="宋体" w:cs="宋体"/>
                <w:szCs w:val="21"/>
              </w:rPr>
              <w:t>内容执行。</w:t>
            </w:r>
          </w:p>
        </w:tc>
      </w:tr>
    </w:tbl>
    <w:p>
      <w:pPr>
        <w:pStyle w:val="16"/>
        <w:numPr>
          <w:ilvl w:val="0"/>
          <w:numId w:val="0"/>
        </w:numPr>
        <w:spacing w:before="0" w:beforeLines="0" w:after="0" w:afterLines="0" w:line="400" w:lineRule="exact"/>
        <w:rPr>
          <w:rFonts w:hint="eastAsia" w:ascii="Times New Roman"/>
        </w:rPr>
      </w:pPr>
    </w:p>
    <w:p>
      <w:pPr>
        <w:pStyle w:val="16"/>
        <w:numPr>
          <w:ilvl w:val="0"/>
          <w:numId w:val="0"/>
        </w:numPr>
        <w:spacing w:before="0" w:beforeLines="0" w:after="0" w:afterLines="0" w:line="400" w:lineRule="exact"/>
        <w:rPr>
          <w:rFonts w:hint="eastAsia" w:ascii="Times New Roman"/>
        </w:rPr>
      </w:pPr>
      <w:r>
        <w:rPr>
          <w:rFonts w:hint="eastAsia" w:ascii="Times New Roman"/>
        </w:rPr>
        <w:t>7 判定原则</w:t>
      </w:r>
    </w:p>
    <w:p>
      <w:pPr>
        <w:autoSpaceDE w:val="0"/>
        <w:autoSpaceDN w:val="0"/>
        <w:adjustRightInd w:val="0"/>
        <w:spacing w:line="400" w:lineRule="exact"/>
        <w:ind w:firstLine="420" w:firstLineChars="200"/>
        <w:jc w:val="left"/>
        <w:rPr>
          <w:rFonts w:hint="eastAsia"/>
          <w:szCs w:val="21"/>
        </w:rPr>
      </w:pPr>
      <w:r>
        <w:rPr>
          <w:rFonts w:hint="eastAsia"/>
          <w:szCs w:val="21"/>
        </w:rPr>
        <w:t>若被检产品明示的质量要求高于本细则中检验项目依据的标准要求时，应按被检产品明示的质量要求判定。</w:t>
      </w:r>
    </w:p>
    <w:p>
      <w:pPr>
        <w:autoSpaceDE w:val="0"/>
        <w:autoSpaceDN w:val="0"/>
        <w:adjustRightInd w:val="0"/>
        <w:spacing w:line="400" w:lineRule="exact"/>
        <w:ind w:firstLine="420" w:firstLineChars="200"/>
        <w:jc w:val="left"/>
        <w:rPr>
          <w:rFonts w:hint="eastAsia"/>
          <w:szCs w:val="21"/>
        </w:rPr>
      </w:pPr>
      <w:r>
        <w:rPr>
          <w:rFonts w:hint="eastAsia"/>
          <w:szCs w:val="21"/>
        </w:rPr>
        <w:t>若被检产品</w:t>
      </w:r>
      <w:bookmarkStart w:id="2" w:name="_Hlk58571175"/>
      <w:r>
        <w:rPr>
          <w:rFonts w:hint="eastAsia"/>
          <w:szCs w:val="21"/>
        </w:rPr>
        <w:t>明示的质量要求</w:t>
      </w:r>
      <w:bookmarkEnd w:id="2"/>
      <w:r>
        <w:rPr>
          <w:rFonts w:hint="eastAsia"/>
          <w:szCs w:val="21"/>
        </w:rPr>
        <w:t>低于本细则中检验项目依据的强制性标准要求时，应按照强制性标准要求判定。</w:t>
      </w:r>
    </w:p>
    <w:p>
      <w:pPr>
        <w:autoSpaceDE w:val="0"/>
        <w:autoSpaceDN w:val="0"/>
        <w:adjustRightInd w:val="0"/>
        <w:spacing w:line="400" w:lineRule="exact"/>
        <w:ind w:firstLine="420" w:firstLineChars="200"/>
        <w:jc w:val="left"/>
        <w:rPr>
          <w:rFonts w:hint="eastAsia"/>
          <w:szCs w:val="21"/>
        </w:rPr>
      </w:pPr>
      <w:r>
        <w:rPr>
          <w:rFonts w:hint="eastAsia"/>
          <w:szCs w:val="21"/>
        </w:rPr>
        <w:t>若被检产品明示的质量要求低于或包含细则中检验项目依据的推荐性标准要求时，应以被检产品明示的质量要求判定。</w:t>
      </w:r>
    </w:p>
    <w:p>
      <w:pPr>
        <w:autoSpaceDE w:val="0"/>
        <w:autoSpaceDN w:val="0"/>
        <w:adjustRightInd w:val="0"/>
        <w:spacing w:line="400" w:lineRule="exact"/>
        <w:ind w:firstLine="420" w:firstLineChars="200"/>
        <w:jc w:val="left"/>
        <w:rPr>
          <w:rFonts w:hint="eastAsia"/>
          <w:szCs w:val="21"/>
        </w:rPr>
      </w:pPr>
      <w:r>
        <w:rPr>
          <w:rFonts w:hint="eastAsia"/>
          <w:szCs w:val="21"/>
        </w:rPr>
        <w:t>若被检产品明示的质量要求缺少本细则中检验项目依据的强制性标准要求时，应按照强制性标准要求判定。</w:t>
      </w:r>
    </w:p>
    <w:p>
      <w:pPr>
        <w:spacing w:line="400" w:lineRule="exact"/>
        <w:ind w:firstLine="420" w:firstLineChars="200"/>
        <w:rPr>
          <w:rFonts w:hint="eastAsia"/>
          <w:kern w:val="0"/>
          <w:szCs w:val="21"/>
        </w:rPr>
      </w:pPr>
      <w:r>
        <w:rPr>
          <w:rFonts w:hint="eastAsia"/>
          <w:szCs w:val="21"/>
        </w:rPr>
        <w:t>若被检产品明示的质量要求缺少本细则中检验项目依据的推荐性标准要求时，该项目不参与 判定，但应在检验报告备注中进行说明。</w:t>
      </w:r>
    </w:p>
    <w:p>
      <w:pPr>
        <w:spacing w:line="400" w:lineRule="exact"/>
        <w:ind w:firstLine="420" w:firstLineChars="200"/>
        <w:rPr>
          <w:rFonts w:hint="eastAsia"/>
          <w:kern w:val="0"/>
          <w:szCs w:val="21"/>
        </w:rPr>
      </w:pPr>
      <w:r>
        <w:rPr>
          <w:rFonts w:hint="eastAsia"/>
          <w:kern w:val="0"/>
          <w:szCs w:val="21"/>
        </w:rPr>
        <w:t>经检验，检验项目全部合格，判定为被抽查产品合格；检验项目中任一项或一项以上不合格，判定为被抽查产品不合格。</w:t>
      </w:r>
      <w:r>
        <w:rPr>
          <w:rFonts w:hint="eastAsia"/>
          <w:kern w:val="0"/>
          <w:szCs w:val="21"/>
        </w:rPr>
        <w:br w:type="textWrapping"/>
      </w:r>
      <w:r>
        <w:rPr>
          <w:rFonts w:hint="eastAsia"/>
          <w:kern w:val="0"/>
          <w:szCs w:val="21"/>
        </w:rPr>
        <w:t>7.1当所检项目全部符合执行标准要求，检验报告中的检验结论表述为：“依据桂市监函[xxxx]xx号文中《202</w:t>
      </w:r>
      <w:r>
        <w:rPr>
          <w:rFonts w:hint="eastAsia"/>
          <w:kern w:val="0"/>
          <w:szCs w:val="21"/>
          <w:lang w:val="en-US" w:eastAsia="zh-CN"/>
        </w:rPr>
        <w:t>4</w:t>
      </w:r>
      <w:r>
        <w:rPr>
          <w:rFonts w:hint="eastAsia"/>
          <w:kern w:val="0"/>
          <w:szCs w:val="21"/>
        </w:rPr>
        <w:t>年电动自行车用动力电池产品质量</w:t>
      </w:r>
      <w:r>
        <w:rPr>
          <w:rFonts w:hint="eastAsia"/>
          <w:kern w:val="0"/>
          <w:szCs w:val="21"/>
          <w:lang w:eastAsia="zh-CN"/>
        </w:rPr>
        <w:t>桂林</w:t>
      </w:r>
      <w:r>
        <w:rPr>
          <w:rFonts w:hint="eastAsia"/>
          <w:kern w:val="0"/>
          <w:szCs w:val="21"/>
        </w:rPr>
        <w:t>监督抽查实施细则》要求，对所抽样品的xx个项目进行了检验，检验结果符合xx标准号《标准名称》要求。综合判定：该产品本次监督抽查合格。”</w:t>
      </w:r>
      <w:r>
        <w:rPr>
          <w:rFonts w:hint="eastAsia"/>
          <w:kern w:val="0"/>
          <w:szCs w:val="21"/>
        </w:rPr>
        <w:br w:type="textWrapping"/>
      </w:r>
      <w:r>
        <w:rPr>
          <w:rFonts w:hint="eastAsia"/>
          <w:kern w:val="0"/>
          <w:szCs w:val="21"/>
        </w:rPr>
        <w:t>7.2当所检项目有一项或一项以上不符合执行标准要求，检验报告中的检验结论表述为：“依据桂市监函[xxxx]xx号文中《202</w:t>
      </w:r>
      <w:r>
        <w:rPr>
          <w:rFonts w:hint="eastAsia"/>
          <w:kern w:val="0"/>
          <w:szCs w:val="21"/>
          <w:lang w:val="en-US" w:eastAsia="zh-CN"/>
        </w:rPr>
        <w:t>4</w:t>
      </w:r>
      <w:r>
        <w:rPr>
          <w:rFonts w:hint="eastAsia"/>
          <w:kern w:val="0"/>
          <w:szCs w:val="21"/>
        </w:rPr>
        <w:t>年电动自行车用动力电池产品质量</w:t>
      </w:r>
      <w:r>
        <w:rPr>
          <w:rFonts w:hint="eastAsia"/>
          <w:kern w:val="0"/>
          <w:szCs w:val="21"/>
          <w:lang w:eastAsia="zh-CN"/>
        </w:rPr>
        <w:t>桂林</w:t>
      </w:r>
      <w:r>
        <w:rPr>
          <w:rFonts w:hint="eastAsia"/>
          <w:kern w:val="0"/>
          <w:szCs w:val="21"/>
        </w:rPr>
        <w:t>监督抽查实施细则》要求，对所抽样品的xx个项目进行了检验，其中xx项目的检验结果不符合</w:t>
      </w:r>
      <w:r>
        <w:rPr>
          <w:rFonts w:hint="eastAsia"/>
          <w:bCs/>
          <w:color w:val="000000"/>
          <w:szCs w:val="21"/>
        </w:rPr>
        <w:t>xx</w:t>
      </w:r>
      <w:r>
        <w:rPr>
          <w:rFonts w:hint="eastAsia"/>
          <w:kern w:val="0"/>
          <w:szCs w:val="21"/>
        </w:rPr>
        <w:t>标准号《标准名称》要求。综合判定：该产品本次监督抽查不合格。”</w:t>
      </w:r>
      <w:r>
        <w:rPr>
          <w:rFonts w:hint="eastAsia"/>
          <w:kern w:val="0"/>
          <w:szCs w:val="21"/>
        </w:rPr>
        <w:br w:type="textWrapping"/>
      </w:r>
      <w:r>
        <w:rPr>
          <w:rFonts w:hint="eastAsia"/>
          <w:kern w:val="0"/>
          <w:szCs w:val="21"/>
        </w:rPr>
        <w:t xml:space="preserve">    注：若产品标准有推荐性国家标准或者行业标准，而企业执行自己的企业标准，若抽查项目在企业标准中规定又低于推荐性国家标准或行业标准，所检项目有一项或一项以上低于国家、行业、地方推荐性标准要求（含国家、行业、地方强制性标准中的推荐性条款）时，在使用企业标准作出合格或不合格结论的同时，在“备注”栏中说明：该产品本次监督抽查检验，xx项目不符合xx标准号《国家（行业、地方）标准名称》要求。</w:t>
      </w:r>
    </w:p>
    <w:p>
      <w:pPr>
        <w:pStyle w:val="16"/>
        <w:numPr>
          <w:ilvl w:val="0"/>
          <w:numId w:val="0"/>
        </w:numPr>
        <w:spacing w:before="0" w:beforeLines="0" w:after="0" w:afterLines="0" w:line="400" w:lineRule="exact"/>
        <w:rPr>
          <w:rFonts w:hint="eastAsia" w:ascii="Times New Roman"/>
        </w:rPr>
      </w:pPr>
      <w:r>
        <w:rPr>
          <w:rFonts w:hint="eastAsia" w:ascii="Times New Roman"/>
        </w:rPr>
        <w:t>8 异议处理</w:t>
      </w:r>
    </w:p>
    <w:p>
      <w:pPr>
        <w:spacing w:line="400" w:lineRule="exact"/>
        <w:ind w:firstLine="420" w:firstLineChars="200"/>
        <w:rPr>
          <w:rFonts w:hint="eastAsia"/>
          <w:kern w:val="0"/>
          <w:szCs w:val="21"/>
        </w:rPr>
      </w:pPr>
      <w:r>
        <w:rPr>
          <w:rFonts w:hint="eastAsia"/>
          <w:kern w:val="0"/>
          <w:szCs w:val="21"/>
        </w:rPr>
        <w:t>对被判定为不合格产品进行复检时，按以下方式进行：</w:t>
      </w:r>
    </w:p>
    <w:p>
      <w:pPr>
        <w:snapToGrid w:val="0"/>
        <w:spacing w:line="400" w:lineRule="exact"/>
        <w:rPr>
          <w:rFonts w:hint="eastAsia"/>
          <w:szCs w:val="21"/>
        </w:rPr>
      </w:pPr>
      <w:r>
        <w:rPr>
          <w:rFonts w:hint="eastAsia"/>
          <w:szCs w:val="21"/>
        </w:rPr>
        <w:t>8.1 核查不合格项目相关证据，能够以记录（纸质记录或电子记录或影像记录）或与不合格项目相关联的其它质量数据等检验证据证明的，由监督抽查组织部门根据核查情况作出异议处理决定。</w:t>
      </w:r>
    </w:p>
    <w:p>
      <w:pPr>
        <w:snapToGrid w:val="0"/>
        <w:spacing w:line="400" w:lineRule="exact"/>
        <w:rPr>
          <w:rFonts w:hint="eastAsia"/>
          <w:szCs w:val="21"/>
        </w:rPr>
      </w:pPr>
      <w:r>
        <w:rPr>
          <w:rFonts w:hint="eastAsia"/>
          <w:szCs w:val="21"/>
        </w:rPr>
        <w:t>8.2 对需要复检并具备检验条件的，监督抽查组织部门按照《产品质量监督抽查管理暂行办法》要求组织复检机构对抽取的备用样品进行复检，并出具检验报告。复检结论为最终结论。</w:t>
      </w:r>
    </w:p>
    <w:p>
      <w:pPr>
        <w:snapToGrid w:val="0"/>
        <w:spacing w:line="400" w:lineRule="exact"/>
        <w:rPr>
          <w:rFonts w:hint="eastAsia" w:eastAsia="仿宋_GB2312"/>
          <w:sz w:val="44"/>
          <w:szCs w:val="44"/>
        </w:rPr>
      </w:pPr>
      <w:r>
        <w:rPr>
          <w:rFonts w:hint="eastAsia"/>
          <w:szCs w:val="21"/>
        </w:rPr>
        <w:t xml:space="preserve">8.3 </w:t>
      </w:r>
      <w:r>
        <w:rPr>
          <w:rFonts w:hint="eastAsia"/>
          <w:b/>
          <w:szCs w:val="21"/>
        </w:rPr>
        <w:t>若复检项目为</w:t>
      </w:r>
      <w:r>
        <w:rPr>
          <w:rFonts w:hint="eastAsia" w:ascii="宋体" w:hAnsi="宋体" w:cs="Sim Sun"/>
          <w:b/>
          <w:bCs/>
          <w:kern w:val="0"/>
          <w:szCs w:val="21"/>
        </w:rPr>
        <w:t>铅酸蓄电池容量</w:t>
      </w:r>
      <w:r>
        <w:rPr>
          <w:rFonts w:hint="eastAsia"/>
          <w:b/>
          <w:szCs w:val="21"/>
        </w:rPr>
        <w:t>项目</w:t>
      </w:r>
      <w:r>
        <w:rPr>
          <w:rFonts w:hint="eastAsia"/>
          <w:b/>
          <w:bCs w:val="0"/>
          <w:szCs w:val="21"/>
          <w:lang w:eastAsia="zh-CN"/>
        </w:rPr>
        <w:t>（</w:t>
      </w:r>
      <w:r>
        <w:rPr>
          <w:rFonts w:hint="eastAsia" w:ascii="宋体" w:hAnsi="宋体" w:cs="宋体"/>
          <w:b/>
          <w:bCs w:val="0"/>
          <w:szCs w:val="21"/>
        </w:rPr>
        <w:t>2hr容量</w:t>
      </w:r>
      <w:r>
        <w:rPr>
          <w:rFonts w:hint="eastAsia"/>
          <w:b/>
          <w:bCs w:val="0"/>
          <w:szCs w:val="21"/>
          <w:lang w:eastAsia="zh-CN"/>
        </w:rPr>
        <w:t>）</w:t>
      </w:r>
      <w:r>
        <w:rPr>
          <w:rFonts w:hint="eastAsia"/>
          <w:b/>
          <w:szCs w:val="21"/>
        </w:rPr>
        <w:t>，</w:t>
      </w:r>
      <w:r>
        <w:rPr>
          <w:b/>
          <w:szCs w:val="21"/>
        </w:rPr>
        <w:t>且</w:t>
      </w:r>
      <w:r>
        <w:rPr>
          <w:rFonts w:hint="eastAsia" w:ascii="宋体" w:hAnsi="宋体" w:cs="Sim Sun"/>
          <w:b/>
          <w:bCs/>
          <w:kern w:val="0"/>
          <w:szCs w:val="21"/>
        </w:rPr>
        <w:t>铅酸蓄电池</w:t>
      </w:r>
      <w:r>
        <w:rPr>
          <w:b/>
          <w:szCs w:val="21"/>
        </w:rPr>
        <w:t>备样的生产日期已经超过</w:t>
      </w:r>
      <w:r>
        <w:rPr>
          <w:rFonts w:hint="eastAsia"/>
          <w:b/>
          <w:szCs w:val="21"/>
        </w:rPr>
        <w:t>3个月的，则不对备样进行复检。</w:t>
      </w:r>
    </w:p>
    <w:bookmarkEnd w:id="0"/>
    <w:p>
      <w:pPr>
        <w:rPr>
          <w:rFonts w:hint="eastAsia" w:eastAsia="仿宋_GB2312"/>
          <w:sz w:val="44"/>
          <w:szCs w:val="44"/>
        </w:rPr>
      </w:pPr>
    </w:p>
    <w:sectPr>
      <w:headerReference r:id="rId3" w:type="default"/>
      <w:footerReference r:id="rId4" w:type="default"/>
      <w:footerReference r:id="rId5" w:type="even"/>
      <w:pgSz w:w="11906" w:h="16838"/>
      <w:pgMar w:top="1134" w:right="1474" w:bottom="1134" w:left="1474" w:header="851" w:footer="851" w:gutter="0"/>
      <w:pgNumType w:fmt="numberInDash"/>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im Sun">
    <w:altName w:val="宋体"/>
    <w:panose1 w:val="00000000000000000000"/>
    <w:charset w:val="86"/>
    <w:family w:val="swiss"/>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5 -</w:t>
    </w:r>
    <w:r>
      <w:rPr>
        <w:rFonts w:ascii="宋体" w:hAnsi="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8"/>
        <w:rFonts w:ascii="宋体" w:hAnsi="宋体"/>
        <w:sz w:val="28"/>
        <w:szCs w:val="28"/>
      </w:rPr>
    </w:pPr>
    <w:r>
      <w:rPr>
        <w:rStyle w:val="8"/>
        <w:rFonts w:ascii="宋体" w:hAnsi="宋体"/>
        <w:sz w:val="28"/>
        <w:szCs w:val="28"/>
      </w:rPr>
      <w:fldChar w:fldCharType="begin"/>
    </w:r>
    <w:r>
      <w:rPr>
        <w:rStyle w:val="8"/>
        <w:rFonts w:ascii="宋体" w:hAnsi="宋体"/>
        <w:sz w:val="28"/>
        <w:szCs w:val="28"/>
      </w:rPr>
      <w:instrText xml:space="preserve">PAGE  </w:instrText>
    </w:r>
    <w:r>
      <w:rPr>
        <w:rStyle w:val="8"/>
        <w:rFonts w:ascii="宋体" w:hAnsi="宋体"/>
        <w:sz w:val="28"/>
        <w:szCs w:val="28"/>
      </w:rPr>
      <w:fldChar w:fldCharType="separate"/>
    </w:r>
    <w:r>
      <w:rPr>
        <w:rStyle w:val="8"/>
        <w:rFonts w:ascii="宋体" w:hAnsi="宋体"/>
        <w:sz w:val="28"/>
        <w:szCs w:val="28"/>
      </w:rPr>
      <w:t>- 4 -</w:t>
    </w:r>
    <w:r>
      <w:rPr>
        <w:rStyle w:val="8"/>
        <w:rFonts w:ascii="宋体" w:hAnsi="宋体"/>
        <w:sz w:val="28"/>
        <w:szCs w:val="28"/>
      </w:rPr>
      <w:fldChar w:fldCharType="end"/>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6260FA"/>
    <w:multiLevelType w:val="multilevel"/>
    <w:tmpl w:val="646260FA"/>
    <w:lvl w:ilvl="0" w:tentative="0">
      <w:start w:val="1"/>
      <w:numFmt w:val="decimal"/>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
    <w:nsid w:val="7A2236B6"/>
    <w:multiLevelType w:val="multilevel"/>
    <w:tmpl w:val="7A2236B6"/>
    <w:lvl w:ilvl="0" w:tentative="0">
      <w:start w:val="1"/>
      <w:numFmt w:val="japaneseCounting"/>
      <w:pStyle w:val="16"/>
      <w:lvlText w:val="%1、"/>
      <w:lvlJc w:val="left"/>
      <w:pPr>
        <w:tabs>
          <w:tab w:val="left" w:pos="855"/>
        </w:tabs>
        <w:ind w:left="855" w:hanging="855"/>
      </w:pPr>
      <w:rPr>
        <w:rFonts w:hint="eastAsia"/>
      </w:rPr>
    </w:lvl>
    <w:lvl w:ilvl="1" w:tentative="0">
      <w:start w:val="1"/>
      <w:numFmt w:val="lowerLetter"/>
      <w:pStyle w:val="14"/>
      <w:lvlText w:val="%2)"/>
      <w:lvlJc w:val="left"/>
      <w:pPr>
        <w:tabs>
          <w:tab w:val="left" w:pos="1395"/>
        </w:tabs>
        <w:ind w:left="1395" w:hanging="420"/>
      </w:pPr>
    </w:lvl>
    <w:lvl w:ilvl="2" w:tentative="0">
      <w:start w:val="1"/>
      <w:numFmt w:val="lowerRoman"/>
      <w:pStyle w:val="15"/>
      <w:lvlText w:val="%3."/>
      <w:lvlJc w:val="right"/>
      <w:pPr>
        <w:tabs>
          <w:tab w:val="left" w:pos="1815"/>
        </w:tabs>
        <w:ind w:left="1815" w:hanging="420"/>
      </w:pPr>
    </w:lvl>
    <w:lvl w:ilvl="3" w:tentative="0">
      <w:start w:val="1"/>
      <w:numFmt w:val="decimal"/>
      <w:lvlText w:val="%4."/>
      <w:lvlJc w:val="left"/>
      <w:pPr>
        <w:tabs>
          <w:tab w:val="left" w:pos="2235"/>
        </w:tabs>
        <w:ind w:left="2235" w:hanging="420"/>
      </w:pPr>
    </w:lvl>
    <w:lvl w:ilvl="4" w:tentative="0">
      <w:start w:val="1"/>
      <w:numFmt w:val="lowerLetter"/>
      <w:lvlText w:val="%5)"/>
      <w:lvlJc w:val="left"/>
      <w:pPr>
        <w:tabs>
          <w:tab w:val="left" w:pos="2655"/>
        </w:tabs>
        <w:ind w:left="2655" w:hanging="420"/>
      </w:pPr>
    </w:lvl>
    <w:lvl w:ilvl="5" w:tentative="0">
      <w:start w:val="1"/>
      <w:numFmt w:val="lowerRoman"/>
      <w:lvlText w:val="%6."/>
      <w:lvlJc w:val="right"/>
      <w:pPr>
        <w:tabs>
          <w:tab w:val="left" w:pos="3075"/>
        </w:tabs>
        <w:ind w:left="3075" w:hanging="420"/>
      </w:pPr>
    </w:lvl>
    <w:lvl w:ilvl="6" w:tentative="0">
      <w:start w:val="1"/>
      <w:numFmt w:val="decimal"/>
      <w:lvlText w:val="%7."/>
      <w:lvlJc w:val="left"/>
      <w:pPr>
        <w:tabs>
          <w:tab w:val="left" w:pos="3495"/>
        </w:tabs>
        <w:ind w:left="3495" w:hanging="420"/>
      </w:pPr>
    </w:lvl>
    <w:lvl w:ilvl="7" w:tentative="0">
      <w:start w:val="1"/>
      <w:numFmt w:val="lowerLetter"/>
      <w:lvlText w:val="%8)"/>
      <w:lvlJc w:val="left"/>
      <w:pPr>
        <w:tabs>
          <w:tab w:val="left" w:pos="3915"/>
        </w:tabs>
        <w:ind w:left="3915" w:hanging="420"/>
      </w:pPr>
    </w:lvl>
    <w:lvl w:ilvl="8" w:tentative="0">
      <w:start w:val="1"/>
      <w:numFmt w:val="lowerRoman"/>
      <w:lvlText w:val="%9."/>
      <w:lvlJc w:val="right"/>
      <w:pPr>
        <w:tabs>
          <w:tab w:val="left" w:pos="4335"/>
        </w:tabs>
        <w:ind w:left="4335"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420"/>
  <w:hyphenationZone w:val="36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0YmFiMjQxNjk0NDI1YWQxMmEzMjdlYWNkNTI1MjkifQ=="/>
    <w:docVar w:name="KGWebUrl" w:val="http://192.168.50.253/weaver/weaver.file.FileDownloadForNews?uuid=cfc9930d-296f-4fa3-ab00-2a253a79af66&amp;fileid=18108&amp;type=document&amp;isofficeview=0"/>
  </w:docVars>
  <w:rsids>
    <w:rsidRoot w:val="007C3247"/>
    <w:rsid w:val="00077F0D"/>
    <w:rsid w:val="000E0963"/>
    <w:rsid w:val="000E4D01"/>
    <w:rsid w:val="000E512E"/>
    <w:rsid w:val="0011378C"/>
    <w:rsid w:val="00152FE4"/>
    <w:rsid w:val="00174125"/>
    <w:rsid w:val="001D18B5"/>
    <w:rsid w:val="0021277D"/>
    <w:rsid w:val="0028227A"/>
    <w:rsid w:val="00284F9A"/>
    <w:rsid w:val="002C1149"/>
    <w:rsid w:val="00317D11"/>
    <w:rsid w:val="003612B7"/>
    <w:rsid w:val="00365B7A"/>
    <w:rsid w:val="003A6922"/>
    <w:rsid w:val="003B572E"/>
    <w:rsid w:val="003F5E6C"/>
    <w:rsid w:val="0044182D"/>
    <w:rsid w:val="00441A5D"/>
    <w:rsid w:val="004544A8"/>
    <w:rsid w:val="0055375E"/>
    <w:rsid w:val="00575513"/>
    <w:rsid w:val="005D48C2"/>
    <w:rsid w:val="005D743B"/>
    <w:rsid w:val="006016E9"/>
    <w:rsid w:val="006056B4"/>
    <w:rsid w:val="00614B31"/>
    <w:rsid w:val="00672F51"/>
    <w:rsid w:val="00695B5C"/>
    <w:rsid w:val="006C66B6"/>
    <w:rsid w:val="007174DA"/>
    <w:rsid w:val="00727741"/>
    <w:rsid w:val="0076527E"/>
    <w:rsid w:val="0078647C"/>
    <w:rsid w:val="007C3247"/>
    <w:rsid w:val="007C3CC7"/>
    <w:rsid w:val="007C6428"/>
    <w:rsid w:val="008251C4"/>
    <w:rsid w:val="00835856"/>
    <w:rsid w:val="00836540"/>
    <w:rsid w:val="008421DE"/>
    <w:rsid w:val="00887A90"/>
    <w:rsid w:val="00897A01"/>
    <w:rsid w:val="008B2012"/>
    <w:rsid w:val="008C531E"/>
    <w:rsid w:val="008F619D"/>
    <w:rsid w:val="00906A6B"/>
    <w:rsid w:val="00915A4F"/>
    <w:rsid w:val="00937BEF"/>
    <w:rsid w:val="00963C6F"/>
    <w:rsid w:val="009828CA"/>
    <w:rsid w:val="009926B4"/>
    <w:rsid w:val="009E57AC"/>
    <w:rsid w:val="00A278F1"/>
    <w:rsid w:val="00A4211E"/>
    <w:rsid w:val="00AC4523"/>
    <w:rsid w:val="00AF351E"/>
    <w:rsid w:val="00B14D75"/>
    <w:rsid w:val="00B66CB0"/>
    <w:rsid w:val="00B95CB8"/>
    <w:rsid w:val="00BA7330"/>
    <w:rsid w:val="00BB7124"/>
    <w:rsid w:val="00C23FE9"/>
    <w:rsid w:val="00C61B20"/>
    <w:rsid w:val="00CA11D3"/>
    <w:rsid w:val="00CA7644"/>
    <w:rsid w:val="00CE3169"/>
    <w:rsid w:val="00D12A98"/>
    <w:rsid w:val="00D15C05"/>
    <w:rsid w:val="00D65B41"/>
    <w:rsid w:val="00D9763E"/>
    <w:rsid w:val="00DA21BE"/>
    <w:rsid w:val="00E52DA9"/>
    <w:rsid w:val="00E64BAB"/>
    <w:rsid w:val="00EC39AD"/>
    <w:rsid w:val="00EC65EB"/>
    <w:rsid w:val="00ED7323"/>
    <w:rsid w:val="00F35322"/>
    <w:rsid w:val="00F47DD2"/>
    <w:rsid w:val="00F56DC2"/>
    <w:rsid w:val="00F72113"/>
    <w:rsid w:val="00F74988"/>
    <w:rsid w:val="00F77C72"/>
    <w:rsid w:val="00FA5E22"/>
    <w:rsid w:val="00FB666B"/>
    <w:rsid w:val="00FD5E59"/>
    <w:rsid w:val="00FF073E"/>
    <w:rsid w:val="02247ACE"/>
    <w:rsid w:val="089E6C7A"/>
    <w:rsid w:val="0A344626"/>
    <w:rsid w:val="0CDF2F6F"/>
    <w:rsid w:val="0E8A19E3"/>
    <w:rsid w:val="13BB1914"/>
    <w:rsid w:val="14F92B1D"/>
    <w:rsid w:val="18C9420D"/>
    <w:rsid w:val="19AF1F1B"/>
    <w:rsid w:val="1C1C444B"/>
    <w:rsid w:val="23F30C56"/>
    <w:rsid w:val="240F5A90"/>
    <w:rsid w:val="2A725CEF"/>
    <w:rsid w:val="31853836"/>
    <w:rsid w:val="3E75078E"/>
    <w:rsid w:val="4148218A"/>
    <w:rsid w:val="483416BA"/>
    <w:rsid w:val="4AAD305D"/>
    <w:rsid w:val="4AFC7BF7"/>
    <w:rsid w:val="5A625C12"/>
    <w:rsid w:val="5AE605F2"/>
    <w:rsid w:val="5E2B6269"/>
    <w:rsid w:val="632779F9"/>
    <w:rsid w:val="641D256F"/>
    <w:rsid w:val="656E5DB3"/>
    <w:rsid w:val="67C719B9"/>
    <w:rsid w:val="68EE6837"/>
    <w:rsid w:val="6D53ADA1"/>
    <w:rsid w:val="6D91263F"/>
    <w:rsid w:val="724759C2"/>
    <w:rsid w:val="74FD680C"/>
    <w:rsid w:val="7C1D7F8A"/>
    <w:rsid w:val="7CC7607D"/>
    <w:rsid w:val="EB3E475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99"/>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character" w:styleId="7">
    <w:name w:val="Strong"/>
    <w:autoRedefine/>
    <w:qFormat/>
    <w:uiPriority w:val="0"/>
    <w:rPr>
      <w:b/>
      <w:bCs/>
    </w:rPr>
  </w:style>
  <w:style w:type="character" w:styleId="8">
    <w:name w:val="page number"/>
    <w:autoRedefine/>
    <w:qFormat/>
    <w:uiPriority w:val="0"/>
  </w:style>
  <w:style w:type="character" w:styleId="9">
    <w:name w:val="Hyperlink"/>
    <w:autoRedefine/>
    <w:qFormat/>
    <w:uiPriority w:val="0"/>
    <w:rPr>
      <w:color w:val="0000FF"/>
      <w:u w:val="single"/>
    </w:rPr>
  </w:style>
  <w:style w:type="character" w:customStyle="1" w:styleId="10">
    <w:name w:val="页眉 Char"/>
    <w:autoRedefine/>
    <w:qFormat/>
    <w:uiPriority w:val="0"/>
    <w:rPr>
      <w:kern w:val="2"/>
      <w:sz w:val="18"/>
      <w:szCs w:val="18"/>
    </w:rPr>
  </w:style>
  <w:style w:type="character" w:customStyle="1" w:styleId="11">
    <w:name w:val="页脚 Char"/>
    <w:autoRedefine/>
    <w:uiPriority w:val="99"/>
    <w:rPr>
      <w:kern w:val="2"/>
      <w:sz w:val="18"/>
      <w:szCs w:val="18"/>
    </w:rPr>
  </w:style>
  <w:style w:type="character" w:customStyle="1" w:styleId="12">
    <w:name w:val="段 Char"/>
    <w:link w:val="13"/>
    <w:autoRedefine/>
    <w:qFormat/>
    <w:uiPriority w:val="0"/>
    <w:rPr>
      <w:rFonts w:ascii="宋体"/>
      <w:sz w:val="21"/>
    </w:rPr>
  </w:style>
  <w:style w:type="paragraph" w:customStyle="1" w:styleId="13">
    <w:name w:val="段"/>
    <w:link w:val="12"/>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4">
    <w:name w:val="一级条标题"/>
    <w:next w:val="13"/>
    <w:autoRedefine/>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15">
    <w:name w:val="二级条标题"/>
    <w:basedOn w:val="14"/>
    <w:next w:val="13"/>
    <w:autoRedefine/>
    <w:qFormat/>
    <w:uiPriority w:val="0"/>
    <w:pPr>
      <w:numPr>
        <w:ilvl w:val="2"/>
        <w:numId w:val="1"/>
      </w:numPr>
      <w:spacing w:before="50" w:after="50"/>
      <w:outlineLvl w:val="3"/>
    </w:pPr>
  </w:style>
  <w:style w:type="paragraph" w:customStyle="1" w:styleId="16">
    <w:name w:val="章标题"/>
    <w:next w:val="13"/>
    <w:autoRedefine/>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17">
    <w:name w:val="正文表标题"/>
    <w:next w:val="13"/>
    <w:autoRedefine/>
    <w:qFormat/>
    <w:uiPriority w:val="0"/>
    <w:pPr>
      <w:tabs>
        <w:tab w:val="left" w:pos="360"/>
      </w:tabs>
      <w:spacing w:before="156" w:beforeLines="50" w:after="156" w:afterLines="50"/>
      <w:jc w:val="center"/>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cc</Company>
  <Pages>5</Pages>
  <Words>668</Words>
  <Characters>3811</Characters>
  <Lines>31</Lines>
  <Paragraphs>8</Paragraphs>
  <TotalTime>1</TotalTime>
  <ScaleCrop>false</ScaleCrop>
  <LinksUpToDate>false</LinksUpToDate>
  <CharactersWithSpaces>4471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2022-08-17T01:03:00Z</dcterms:created>
  <dc:creator>cc</dc:creator>
  <cp:lastModifiedBy>阿鬼</cp:lastModifiedBy>
  <cp:lastPrinted>2024-02-28T02:15:00Z</cp:lastPrinted>
  <dcterms:modified xsi:type="dcterms:W3CDTF">2024-03-27T08:38:29Z</dcterms:modified>
  <dc:title>关于在全区质量技术监督系统开展电子邮件公文传输的通知</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29A34ADD21254EE7BBEF55DC69A68666_13</vt:lpwstr>
  </property>
</Properties>
</file>